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76B63" w14:textId="0B574E2B" w:rsidR="002F0F57" w:rsidRPr="002F0F57" w:rsidRDefault="002F0F57" w:rsidP="002F0F57">
      <w:pPr>
        <w:pStyle w:val="Subtitle"/>
        <w:rPr>
          <w:rStyle w:val="BookTitle"/>
          <w:i w:val="0"/>
          <w:iCs w:val="0"/>
        </w:rPr>
      </w:pPr>
      <w:r w:rsidRPr="002F0F57">
        <w:rPr>
          <w:rStyle w:val="BookTitle"/>
          <w:i w:val="0"/>
          <w:iCs w:val="0"/>
        </w:rPr>
        <w:t>3GPP TSG RAN WG1 Meeting #10</w:t>
      </w:r>
      <w:r w:rsidR="008F24B1">
        <w:rPr>
          <w:rStyle w:val="BookTitle"/>
          <w:i w:val="0"/>
          <w:iCs w:val="0"/>
        </w:rPr>
        <w:t>4</w:t>
      </w:r>
      <w:r w:rsidRPr="002F0F57">
        <w:rPr>
          <w:rStyle w:val="BookTitle"/>
          <w:i w:val="0"/>
          <w:iCs w:val="0"/>
        </w:rPr>
        <w:t xml:space="preserve">-e     </w:t>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t xml:space="preserve">          R1-2</w:t>
      </w:r>
      <w:r w:rsidR="006E08F6">
        <w:rPr>
          <w:rStyle w:val="BookTitle"/>
          <w:i w:val="0"/>
          <w:iCs w:val="0"/>
        </w:rPr>
        <w:t>101484</w:t>
      </w:r>
    </w:p>
    <w:p w14:paraId="0C3F8CDC" w14:textId="24B0FDAE" w:rsidR="002F0F57" w:rsidRDefault="002F0F57" w:rsidP="002F0F57">
      <w:pPr>
        <w:pStyle w:val="Subtitle"/>
        <w:rPr>
          <w:rStyle w:val="BookTitle"/>
          <w:i w:val="0"/>
        </w:rPr>
      </w:pPr>
      <w:bookmarkStart w:id="0" w:name="_Hlk61804542"/>
      <w:r>
        <w:rPr>
          <w:rStyle w:val="BookTitle"/>
          <w:i w:val="0"/>
        </w:rPr>
        <w:t>2</w:t>
      </w:r>
      <w:r w:rsidR="00A47409">
        <w:rPr>
          <w:rStyle w:val="BookTitle"/>
          <w:i w:val="0"/>
        </w:rPr>
        <w:t>5</w:t>
      </w:r>
      <w:r>
        <w:rPr>
          <w:rStyle w:val="BookTitle"/>
          <w:vertAlign w:val="superscript"/>
        </w:rPr>
        <w:t>th</w:t>
      </w:r>
      <w:r>
        <w:rPr>
          <w:rStyle w:val="BookTitle"/>
        </w:rPr>
        <w:t xml:space="preserve"> </w:t>
      </w:r>
      <w:r w:rsidR="00A47409">
        <w:rPr>
          <w:rStyle w:val="BookTitle"/>
          <w:i w:val="0"/>
        </w:rPr>
        <w:t>January</w:t>
      </w:r>
      <w:r>
        <w:rPr>
          <w:rStyle w:val="BookTitle"/>
          <w:i w:val="0"/>
        </w:rPr>
        <w:t xml:space="preserve"> </w:t>
      </w:r>
      <w:r>
        <w:rPr>
          <w:rStyle w:val="BookTitle"/>
        </w:rPr>
        <w:t xml:space="preserve">– </w:t>
      </w:r>
      <w:r w:rsidR="00A47409">
        <w:rPr>
          <w:rStyle w:val="BookTitle"/>
          <w:i w:val="0"/>
        </w:rPr>
        <w:t>5</w:t>
      </w:r>
      <w:r>
        <w:rPr>
          <w:rStyle w:val="BookTitle"/>
          <w:vertAlign w:val="superscript"/>
        </w:rPr>
        <w:t>th</w:t>
      </w:r>
      <w:r>
        <w:rPr>
          <w:rStyle w:val="BookTitle"/>
        </w:rPr>
        <w:t xml:space="preserve"> </w:t>
      </w:r>
      <w:r w:rsidR="00A47409">
        <w:rPr>
          <w:rStyle w:val="BookTitle"/>
          <w:i w:val="0"/>
        </w:rPr>
        <w:t>February</w:t>
      </w:r>
      <w:r>
        <w:rPr>
          <w:rStyle w:val="BookTitle"/>
        </w:rPr>
        <w:t xml:space="preserve"> </w:t>
      </w:r>
      <w:r w:rsidRPr="002F0F57">
        <w:rPr>
          <w:rStyle w:val="BookTitle"/>
          <w:i w:val="0"/>
          <w:iCs w:val="0"/>
        </w:rPr>
        <w:t>202</w:t>
      </w:r>
      <w:r w:rsidR="00A47409">
        <w:rPr>
          <w:rStyle w:val="BookTitle"/>
          <w:i w:val="0"/>
          <w:iCs w:val="0"/>
        </w:rPr>
        <w:t>1</w:t>
      </w:r>
      <w:bookmarkEnd w:id="0"/>
    </w:p>
    <w:p w14:paraId="74456E8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w:t>
      </w:r>
      <w:r w:rsidR="00652637">
        <w:rPr>
          <w:rStyle w:val="SubtitleChar"/>
        </w:rPr>
        <w:t>2</w:t>
      </w:r>
    </w:p>
    <w:p w14:paraId="26AD32B7"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5D7F6707" w14:textId="77777777" w:rsidR="00806EAC" w:rsidRPr="002B4616" w:rsidRDefault="00806EAC" w:rsidP="00652637">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652637" w:rsidRPr="00652637">
        <w:rPr>
          <w:rStyle w:val="SubtitleChar"/>
        </w:rPr>
        <w:t>On enhancements for simultaneous operation of IAB-node's child and parent links</w:t>
      </w:r>
    </w:p>
    <w:p w14:paraId="7BA05B7E"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51E2FCD0" w14:textId="56E0B7C2" w:rsidR="00806EAC" w:rsidRDefault="00F432A8" w:rsidP="006A3724">
      <w:pPr>
        <w:pStyle w:val="Heading2"/>
        <w:jc w:val="both"/>
      </w:pPr>
      <w:r>
        <w:t xml:space="preserve">1. </w:t>
      </w:r>
      <w:r w:rsidR="00806EAC">
        <w:t>Introduction</w:t>
      </w:r>
    </w:p>
    <w:p w14:paraId="68EA8DC2" w14:textId="3CFB6F66" w:rsidR="005A62B1" w:rsidRDefault="007D57E3" w:rsidP="00B65785">
      <w:r>
        <w:t xml:space="preserve">This contribution </w:t>
      </w:r>
      <w:r w:rsidR="00E856B6">
        <w:t xml:space="preserve">provides </w:t>
      </w:r>
      <w:r w:rsidR="006E52F1">
        <w:t>our</w:t>
      </w:r>
      <w:r w:rsidR="00E856B6">
        <w:t xml:space="preserve"> view on</w:t>
      </w:r>
      <w:r w:rsidR="00B65785">
        <w:t xml:space="preserve"> </w:t>
      </w:r>
      <w:r w:rsidR="006463E5">
        <w:t xml:space="preserve">additional enhancements for simultaneous operation </w:t>
      </w:r>
      <w:r w:rsidR="006463E5" w:rsidRPr="006463E5">
        <w:t>of IAB-node's child and parent links</w:t>
      </w:r>
      <w:r w:rsidR="00B65785">
        <w:t xml:space="preserve"> in the context of the Rel-17 IAB WID [1] objectives. Specifically, it</w:t>
      </w:r>
      <w:r w:rsidR="006463E5">
        <w:t xml:space="preserve"> addresses potential additional timing modes, power control, and interference management.</w:t>
      </w:r>
    </w:p>
    <w:p w14:paraId="094D2A6A" w14:textId="5A3324B7" w:rsidR="00C476A7" w:rsidRDefault="00F432A8" w:rsidP="006A3724">
      <w:pPr>
        <w:pStyle w:val="Heading2"/>
      </w:pPr>
      <w:bookmarkStart w:id="1" w:name="_Hlk32401284"/>
      <w:bookmarkStart w:id="2" w:name="_Hlk24102609"/>
      <w:r>
        <w:t xml:space="preserve">2. </w:t>
      </w:r>
      <w:r w:rsidR="00083A9B">
        <w:t>Timing modes</w:t>
      </w:r>
    </w:p>
    <w:p w14:paraId="16E7DD39" w14:textId="4722C62B" w:rsidR="00C31387" w:rsidRDefault="009A3624" w:rsidP="00C23008">
      <w:r>
        <w:t xml:space="preserve">Rel-16 has defined a </w:t>
      </w:r>
      <w:r w:rsidR="00083A9B">
        <w:t xml:space="preserve">baseline timing mode for IAB, referred as Case 1 timing, which is characterized by DL Tx timing alignment across all IAB-nodes and </w:t>
      </w:r>
      <w:r w:rsidR="008A0CA6">
        <w:t xml:space="preserve">it </w:t>
      </w:r>
      <w:r w:rsidR="00083A9B">
        <w:t xml:space="preserve">maintains the Rel-15 UL timing </w:t>
      </w:r>
      <w:r w:rsidR="008A0CA6">
        <w:t xml:space="preserve">adjustment </w:t>
      </w:r>
      <w:r w:rsidR="00083A9B">
        <w:t>framework</w:t>
      </w:r>
      <w:r w:rsidR="008A0CA6">
        <w:t xml:space="preserve">. Additional timing modes were discussed as potentially useful in the context of enhanced duplexing capability between the IAB-MT and the IAB-DU, particularly for the SDM cases (i.e. simultaneous IAB-MT Rx and IAB-DU Rx, or </w:t>
      </w:r>
      <w:r w:rsidR="0097408A">
        <w:t>simultaneous</w:t>
      </w:r>
      <w:r w:rsidR="008A0CA6">
        <w:t xml:space="preserve"> IAB-MT Tx and IAB-DU Tx).</w:t>
      </w:r>
      <w:r w:rsidR="000A657E">
        <w:t xml:space="preserve"> </w:t>
      </w:r>
      <w:r w:rsidR="00C31387">
        <w:t>Specifically, Case 6 timing and Case 7 timing were agreed in RAN1#102-e</w:t>
      </w:r>
      <w:r w:rsidR="00761B22">
        <w:t xml:space="preserve"> [2]</w:t>
      </w:r>
      <w:r w:rsidR="00C31387">
        <w:t>:</w:t>
      </w:r>
    </w:p>
    <w:p w14:paraId="2910E396" w14:textId="77777777" w:rsidR="00AB2AEB" w:rsidRDefault="00AB2AEB" w:rsidP="00AB2AEB">
      <w:r>
        <w:t>Case 6 timing is equivalent to Case 1 timing from a DL Tx timing alignment point of view. On the other hand, it requires the UL Tx timing of the IAB-MT to be aligned with the DL Tx timing of the IAB-DU, in an attempt to facilitate simultaneous transmission by the IAB-MT and the IAB-DU.</w:t>
      </w:r>
    </w:p>
    <w:p w14:paraId="07F7A918" w14:textId="77777777" w:rsidR="00AB2AEB" w:rsidRDefault="00AB2AEB" w:rsidP="00AB2AEB">
      <w:r>
        <w:t>Similarly, Case 7 timing is too equivalent to Case 1 timing from a DL Tx timing alignment point of view. On the other hand, it requires the UL Rx timing of the IAB-DU to be aligned with the DL Rx timing of the IAB-MT, in an attempt to facilitate simultaneous reception by the IAB-MT and the IAB-DU.</w:t>
      </w:r>
    </w:p>
    <w:p w14:paraId="568E4B6A" w14:textId="2EEF9BC7" w:rsidR="00C57DBD" w:rsidRDefault="00C57DBD" w:rsidP="00EC5FC3">
      <w:r>
        <w:t xml:space="preserve">The main drawback of Case 6 timing is that when it is used by a given IAB-node it will not be guaranteed that the parent node </w:t>
      </w:r>
      <w:r w:rsidR="00C93390">
        <w:t>can ensure all received uplink signals are received time aligned within the CP duration. This may lead to interference in the upstream link (link to the parent node)</w:t>
      </w:r>
      <w:r w:rsidR="009C1B86">
        <w:t xml:space="preserve"> unless uplink users are TDMed</w:t>
      </w:r>
      <w:r w:rsidR="00C0346D">
        <w:t>.</w:t>
      </w:r>
      <w:r w:rsidR="00C407F0">
        <w:t xml:space="preserve"> This i</w:t>
      </w:r>
      <w:r w:rsidR="0045214C">
        <w:t>mplies</w:t>
      </w:r>
      <w:r w:rsidR="00C407F0">
        <w:t xml:space="preserve"> the </w:t>
      </w:r>
      <w:r w:rsidR="0097408A">
        <w:t>operation</w:t>
      </w:r>
      <w:r w:rsidR="00C407F0">
        <w:t xml:space="preserve"> of a node </w:t>
      </w:r>
      <w:r w:rsidR="0045214C">
        <w:t>has</w:t>
      </w:r>
      <w:r w:rsidR="00C407F0">
        <w:t xml:space="preserve"> an impact on </w:t>
      </w:r>
      <w:r w:rsidR="009C1B86">
        <w:t xml:space="preserve">the scheduling </w:t>
      </w:r>
      <w:r w:rsidR="0097408A">
        <w:t>policy</w:t>
      </w:r>
      <w:r w:rsidR="009C1B86">
        <w:t xml:space="preserve"> of a parent</w:t>
      </w:r>
      <w:r w:rsidR="00C407F0">
        <w:t xml:space="preserve"> node.</w:t>
      </w:r>
      <w:r w:rsidR="00A12CC0">
        <w:t xml:space="preserve"> To address this concern the following was agreed in </w:t>
      </w:r>
      <w:r w:rsidR="005C020A">
        <w:t>RAN1#103-e [</w:t>
      </w:r>
      <w:r w:rsidR="0042277C">
        <w:t>2</w:t>
      </w:r>
      <w:r w:rsidR="005C020A">
        <w:t>]:</w:t>
      </w:r>
    </w:p>
    <w:tbl>
      <w:tblPr>
        <w:tblStyle w:val="TableGrid"/>
        <w:tblW w:w="0" w:type="auto"/>
        <w:tblLook w:val="04A0" w:firstRow="1" w:lastRow="0" w:firstColumn="1" w:lastColumn="0" w:noHBand="0" w:noVBand="1"/>
      </w:tblPr>
      <w:tblGrid>
        <w:gridCol w:w="9629"/>
      </w:tblGrid>
      <w:tr w:rsidR="00A12CC0" w14:paraId="4B5DEF53" w14:textId="77777777" w:rsidTr="00A12CC0">
        <w:tc>
          <w:tcPr>
            <w:tcW w:w="9629" w:type="dxa"/>
          </w:tcPr>
          <w:p w14:paraId="2ECA97CD" w14:textId="2371B746" w:rsidR="00A12CC0" w:rsidRPr="00A12CC0" w:rsidRDefault="0045214C" w:rsidP="00EC5FC3">
            <w:pPr>
              <w:rPr>
                <w:b/>
                <w:bCs/>
              </w:rPr>
            </w:pPr>
            <w:r w:rsidRPr="005443B7">
              <w:rPr>
                <w:b/>
                <w:bCs/>
              </w:rPr>
              <w:t>RAN1#10</w:t>
            </w:r>
            <w:r>
              <w:rPr>
                <w:b/>
                <w:bCs/>
              </w:rPr>
              <w:t>3</w:t>
            </w:r>
            <w:r w:rsidRPr="005443B7">
              <w:rPr>
                <w:b/>
                <w:bCs/>
              </w:rPr>
              <w:t>-</w:t>
            </w:r>
            <w:r>
              <w:rPr>
                <w:b/>
                <w:bCs/>
              </w:rPr>
              <w:t>e</w:t>
            </w:r>
            <w:r w:rsidRPr="005443B7">
              <w:rPr>
                <w:b/>
                <w:bCs/>
              </w:rPr>
              <w:t xml:space="preserve"> Agreements</w:t>
            </w:r>
          </w:p>
          <w:p w14:paraId="61AC3D9B" w14:textId="77777777" w:rsidR="0045214C" w:rsidRPr="00216913" w:rsidRDefault="0045214C" w:rsidP="0045214C">
            <w:pPr>
              <w:rPr>
                <w:rFonts w:eastAsia="Batang"/>
                <w:highlight w:val="green"/>
              </w:rPr>
            </w:pPr>
            <w:r w:rsidRPr="00216913">
              <w:rPr>
                <w:highlight w:val="green"/>
              </w:rPr>
              <w:t>Agreement</w:t>
            </w:r>
          </w:p>
          <w:p w14:paraId="24AAE69E" w14:textId="4CDC96F7" w:rsidR="00A12CC0" w:rsidRPr="0045214C" w:rsidRDefault="0045214C" w:rsidP="00EC5FC3">
            <w:pPr>
              <w:rPr>
                <w:rFonts w:eastAsia="Calibri"/>
              </w:rPr>
            </w:pPr>
            <w:r w:rsidRPr="00216913">
              <w:rPr>
                <w:rFonts w:eastAsia="Calibri"/>
              </w:rPr>
              <w:t>Case 6 timing mode operation at an IAB-node is controlled by the parent node to which the UL transmission is intended for.</w:t>
            </w:r>
          </w:p>
        </w:tc>
      </w:tr>
    </w:tbl>
    <w:p w14:paraId="0BFEA423" w14:textId="48842951" w:rsidR="00A12CC0" w:rsidRDefault="00A12CC0" w:rsidP="00EC5FC3"/>
    <w:p w14:paraId="1131D8D4" w14:textId="745A2D40" w:rsidR="0004766A" w:rsidRDefault="003E2F25" w:rsidP="00EC5FC3">
      <w:r>
        <w:t xml:space="preserve">As a result, an IAB-node requiring Case 6 timing for its operation may indicate to its parent node such need. As described in Proposal 4.1 in [3], this can be included as part of local refinement indication for simultaneous operation between parent and child nodes. </w:t>
      </w:r>
    </w:p>
    <w:p w14:paraId="76F0207E" w14:textId="1B3DD88A" w:rsidR="00907846" w:rsidRDefault="00E0766F" w:rsidP="00EC5FC3">
      <w:r>
        <w:t>During the RAN1#102-e discussion additional concerns were raised about the potential implications on the mechanism for OTA timing synchronization defined in Rel-16.</w:t>
      </w:r>
      <w:r w:rsidR="00F26D4F">
        <w:t xml:space="preserve"> </w:t>
      </w:r>
      <w:r w:rsidR="00907846">
        <w:t>Further to that, the following was agreed in RAN1#103-e [</w:t>
      </w:r>
      <w:r w:rsidR="0042277C">
        <w:t>2</w:t>
      </w:r>
      <w:r w:rsidR="00907846">
        <w:t>]:</w:t>
      </w:r>
    </w:p>
    <w:tbl>
      <w:tblPr>
        <w:tblStyle w:val="TableGrid"/>
        <w:tblW w:w="0" w:type="auto"/>
        <w:tblLook w:val="04A0" w:firstRow="1" w:lastRow="0" w:firstColumn="1" w:lastColumn="0" w:noHBand="0" w:noVBand="1"/>
      </w:tblPr>
      <w:tblGrid>
        <w:gridCol w:w="9629"/>
      </w:tblGrid>
      <w:tr w:rsidR="00907846" w14:paraId="3C14996C" w14:textId="77777777" w:rsidTr="00907846">
        <w:tc>
          <w:tcPr>
            <w:tcW w:w="9629" w:type="dxa"/>
          </w:tcPr>
          <w:p w14:paraId="33B1C722" w14:textId="77777777" w:rsidR="00907846" w:rsidRPr="00A12CC0" w:rsidRDefault="00907846" w:rsidP="00907846">
            <w:pPr>
              <w:rPr>
                <w:b/>
                <w:bCs/>
              </w:rPr>
            </w:pPr>
            <w:r w:rsidRPr="005443B7">
              <w:rPr>
                <w:b/>
                <w:bCs/>
              </w:rPr>
              <w:t>RAN1#10</w:t>
            </w:r>
            <w:r>
              <w:rPr>
                <w:b/>
                <w:bCs/>
              </w:rPr>
              <w:t>3</w:t>
            </w:r>
            <w:r w:rsidRPr="005443B7">
              <w:rPr>
                <w:b/>
                <w:bCs/>
              </w:rPr>
              <w:t>-</w:t>
            </w:r>
            <w:r>
              <w:rPr>
                <w:b/>
                <w:bCs/>
              </w:rPr>
              <w:t>e</w:t>
            </w:r>
            <w:r w:rsidRPr="005443B7">
              <w:rPr>
                <w:b/>
                <w:bCs/>
              </w:rPr>
              <w:t xml:space="preserve"> Agreements</w:t>
            </w:r>
          </w:p>
          <w:p w14:paraId="0D713822" w14:textId="77777777" w:rsidR="00907846" w:rsidRDefault="00907846" w:rsidP="00907846">
            <w:pPr>
              <w:rPr>
                <w:b/>
                <w:bCs/>
                <w:highlight w:val="green"/>
              </w:rPr>
            </w:pPr>
            <w:r>
              <w:rPr>
                <w:b/>
                <w:bCs/>
                <w:highlight w:val="green"/>
              </w:rPr>
              <w:t>Agreement</w:t>
            </w:r>
          </w:p>
          <w:p w14:paraId="4B8327B9" w14:textId="77777777" w:rsidR="00907846" w:rsidRDefault="00907846" w:rsidP="00907846">
            <w:pPr>
              <w:rPr>
                <w:rFonts w:eastAsia="Calibri"/>
                <w:bCs/>
              </w:rPr>
            </w:pPr>
            <w:r>
              <w:rPr>
                <w:rFonts w:eastAsia="Calibri"/>
                <w:bCs/>
              </w:rPr>
              <w:lastRenderedPageBreak/>
              <w:t>An IAB-node can rely on an OTA timing synchronization mechanism to enable/maintain Case 6 timing mode</w:t>
            </w:r>
          </w:p>
          <w:p w14:paraId="0197C6F7" w14:textId="77777777" w:rsidR="00907846" w:rsidRDefault="00907846" w:rsidP="00907846">
            <w:pPr>
              <w:pStyle w:val="ListParagraph"/>
              <w:numPr>
                <w:ilvl w:val="0"/>
                <w:numId w:val="12"/>
              </w:numPr>
              <w:overflowPunct/>
              <w:autoSpaceDE/>
              <w:autoSpaceDN/>
              <w:adjustRightInd/>
              <w:spacing w:after="0"/>
              <w:rPr>
                <w:rFonts w:eastAsia="Calibri" w:cs="Times"/>
                <w:color w:val="000000"/>
              </w:rPr>
            </w:pPr>
            <w:r>
              <w:rPr>
                <w:rFonts w:eastAsia="Calibri" w:cs="Times"/>
                <w:color w:val="000000"/>
              </w:rPr>
              <w:t xml:space="preserve">FFS whether the Rel-16 OTA synchronization mechanism is sufficient or enhancements are required </w:t>
            </w:r>
          </w:p>
          <w:p w14:paraId="36B8B4A4" w14:textId="77777777" w:rsidR="00907846" w:rsidRDefault="00907846" w:rsidP="00907846">
            <w:pPr>
              <w:pStyle w:val="ListParagraph"/>
              <w:numPr>
                <w:ilvl w:val="1"/>
                <w:numId w:val="12"/>
              </w:numPr>
              <w:overflowPunct/>
              <w:autoSpaceDE/>
              <w:autoSpaceDN/>
              <w:adjustRightInd/>
              <w:spacing w:after="0"/>
              <w:rPr>
                <w:rFonts w:eastAsia="Calibri" w:cs="Times"/>
                <w:color w:val="000000"/>
              </w:rPr>
            </w:pPr>
            <w:r>
              <w:rPr>
                <w:rFonts w:eastAsia="Calibri" w:cs="Times"/>
                <w:color w:val="000000"/>
              </w:rPr>
              <w:t>If required, details of enhancements including the uplink timing(s) required to support different timing alignment cases</w:t>
            </w:r>
          </w:p>
          <w:p w14:paraId="66F6D949" w14:textId="77777777" w:rsidR="00907846" w:rsidRDefault="00907846" w:rsidP="00907846">
            <w:pPr>
              <w:pStyle w:val="ListParagraph"/>
              <w:ind w:left="0"/>
              <w:rPr>
                <w:rFonts w:eastAsia="Calibri" w:cs="Times"/>
                <w:color w:val="000000"/>
              </w:rPr>
            </w:pPr>
          </w:p>
          <w:p w14:paraId="26FAA56E" w14:textId="77777777" w:rsidR="00907846" w:rsidRDefault="00907846" w:rsidP="00907846">
            <w:pPr>
              <w:rPr>
                <w:rFonts w:eastAsia="Batang"/>
                <w:b/>
                <w:bCs/>
                <w:highlight w:val="green"/>
              </w:rPr>
            </w:pPr>
            <w:r>
              <w:rPr>
                <w:b/>
                <w:bCs/>
                <w:highlight w:val="green"/>
              </w:rPr>
              <w:t>Agreement</w:t>
            </w:r>
          </w:p>
          <w:p w14:paraId="78A9339D" w14:textId="77777777" w:rsidR="00907846" w:rsidRDefault="00907846" w:rsidP="00907846">
            <w:pPr>
              <w:rPr>
                <w:rFonts w:eastAsia="Calibri"/>
                <w:bCs/>
              </w:rPr>
            </w:pPr>
            <w:r>
              <w:rPr>
                <w:rFonts w:eastAsia="Calibri"/>
              </w:rPr>
              <w:t>An IAB-node, when operating in Case 7 timing mode, can enable a child node to set its DL Tx timing based on Rel-16 OTA timing synchronization mechanism.</w:t>
            </w:r>
          </w:p>
          <w:p w14:paraId="0E2E1941" w14:textId="77777777" w:rsidR="00907846" w:rsidRDefault="00907846" w:rsidP="00907846">
            <w:pPr>
              <w:pStyle w:val="ListParagraph"/>
              <w:numPr>
                <w:ilvl w:val="0"/>
                <w:numId w:val="12"/>
              </w:numPr>
              <w:overflowPunct/>
              <w:autoSpaceDE/>
              <w:autoSpaceDN/>
              <w:adjustRightInd/>
              <w:spacing w:after="0"/>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0A536349" w14:textId="198B98F9" w:rsidR="00907846" w:rsidRDefault="00907846" w:rsidP="00907846">
            <w:pPr>
              <w:pStyle w:val="ListParagraph"/>
              <w:numPr>
                <w:ilvl w:val="0"/>
                <w:numId w:val="13"/>
              </w:numPr>
            </w:pPr>
            <w:r w:rsidRPr="00907846">
              <w:rPr>
                <w:rFonts w:eastAsia="Calibri" w:cs="Times"/>
                <w:bCs/>
                <w:color w:val="000000"/>
              </w:rPr>
              <w:t>FFS details of enhancements, if required</w:t>
            </w:r>
          </w:p>
        </w:tc>
      </w:tr>
    </w:tbl>
    <w:p w14:paraId="39595C89" w14:textId="77777777" w:rsidR="00907846" w:rsidRDefault="00907846" w:rsidP="00EC5FC3"/>
    <w:p w14:paraId="14E86B15" w14:textId="08649815" w:rsidR="00841F03" w:rsidRDefault="00F26D4F" w:rsidP="00EC5FC3">
      <w:r>
        <w:t xml:space="preserve">As a </w:t>
      </w:r>
      <w:r w:rsidR="0099624F">
        <w:t>result,</w:t>
      </w:r>
      <w:r>
        <w:t xml:space="preserve"> it is important to </w:t>
      </w:r>
      <w:r w:rsidR="00415A3B">
        <w:t>determine whether enhancements to the Rel-16 OTA synchronization framework are required when operating in Case 6 or case 7 timing</w:t>
      </w:r>
      <w:r>
        <w:t>.</w:t>
      </w:r>
    </w:p>
    <w:p w14:paraId="22B3C8EF" w14:textId="7A5E2F8C" w:rsidR="00B65D5F" w:rsidRDefault="00B65D5F" w:rsidP="00EC5FC3">
      <w:r>
        <w:t>As a reference a</w:t>
      </w:r>
      <w:r w:rsidR="00C2056B">
        <w:t xml:space="preserve"> simplified</w:t>
      </w:r>
      <w:r>
        <w:t xml:space="preserve"> illustration of Case 1 timing and the corresponding OTA synchronization mechanism to enable the estimation of the one-way propagation delay at a given node with assistance from its parent node is provided in </w:t>
      </w:r>
      <w:r>
        <w:fldChar w:fldCharType="begin"/>
      </w:r>
      <w:r>
        <w:instrText xml:space="preserve"> REF _Ref54299727 \h </w:instrText>
      </w:r>
      <w:r>
        <w:fldChar w:fldCharType="separate"/>
      </w:r>
      <w:r w:rsidR="00415A3B">
        <w:t xml:space="preserve">Figure </w:t>
      </w:r>
      <w:r w:rsidR="00415A3B">
        <w:rPr>
          <w:noProof/>
        </w:rPr>
        <w:t>1</w:t>
      </w:r>
      <w:r>
        <w:fldChar w:fldCharType="end"/>
      </w:r>
      <w:r>
        <w:t>.</w:t>
      </w:r>
    </w:p>
    <w:tbl>
      <w:tblPr>
        <w:tblStyle w:val="TableGrid"/>
        <w:tblW w:w="0" w:type="auto"/>
        <w:tblLook w:val="04A0" w:firstRow="1" w:lastRow="0" w:firstColumn="1" w:lastColumn="0" w:noHBand="0" w:noVBand="1"/>
      </w:tblPr>
      <w:tblGrid>
        <w:gridCol w:w="9629"/>
      </w:tblGrid>
      <w:tr w:rsidR="00693079" w14:paraId="110D1DED" w14:textId="77777777" w:rsidTr="00693079">
        <w:tc>
          <w:tcPr>
            <w:tcW w:w="9629" w:type="dxa"/>
          </w:tcPr>
          <w:p w14:paraId="432F84F9" w14:textId="324A21A4" w:rsidR="00693079" w:rsidRDefault="00693079" w:rsidP="00EC5FC3">
            <w:r>
              <w:rPr>
                <w:noProof/>
              </w:rPr>
              <w:drawing>
                <wp:inline distT="0" distB="0" distL="0" distR="0" wp14:anchorId="4F0E22D3" wp14:editId="70513A53">
                  <wp:extent cx="5961888" cy="28895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888" cy="2889504"/>
                          </a:xfrm>
                          <a:prstGeom prst="rect">
                            <a:avLst/>
                          </a:prstGeom>
                          <a:noFill/>
                        </pic:spPr>
                      </pic:pic>
                    </a:graphicData>
                  </a:graphic>
                </wp:inline>
              </w:drawing>
            </w:r>
          </w:p>
        </w:tc>
      </w:tr>
    </w:tbl>
    <w:p w14:paraId="1F7B4161" w14:textId="2B75D074" w:rsidR="00841F03" w:rsidRDefault="00B65D5F" w:rsidP="00B65D5F">
      <w:pPr>
        <w:pStyle w:val="Caption"/>
        <w:jc w:val="center"/>
      </w:pPr>
      <w:bookmarkStart w:id="3" w:name="_Ref54299727"/>
      <w:r>
        <w:t xml:space="preserve">Figure </w:t>
      </w:r>
      <w:r>
        <w:fldChar w:fldCharType="begin"/>
      </w:r>
      <w:r>
        <w:instrText xml:space="preserve"> SEQ Figure \* ARABIC </w:instrText>
      </w:r>
      <w:r>
        <w:fldChar w:fldCharType="separate"/>
      </w:r>
      <w:r w:rsidR="00415A3B">
        <w:rPr>
          <w:noProof/>
        </w:rPr>
        <w:t>1</w:t>
      </w:r>
      <w:r>
        <w:fldChar w:fldCharType="end"/>
      </w:r>
      <w:bookmarkEnd w:id="3"/>
      <w:r>
        <w:t xml:space="preserve"> – Illustration of Case 1 timing with OTA synchronization</w:t>
      </w:r>
    </w:p>
    <w:p w14:paraId="4E4F25A6" w14:textId="41323D10" w:rsidR="00415A3B" w:rsidRDefault="00D94FBE" w:rsidP="00EC5FC3">
      <w:r>
        <w:t>Operation in Case 7 timing by a given IAB node requires adjusting the IAB-DU UL Rx symbol boundary to match the IAB-MT DL Rx symbol boundary (which cannot be moved by the IAB node). This is envisioned to be accomplished using the TA mechanism in place to control the UL Tx timing of UEs and child IAB nodes. Under that assumption the Rel-16 OTA synchronization mechanism can be used when operating in Case 7 timing.</w:t>
      </w:r>
    </w:p>
    <w:p w14:paraId="7B9BF652" w14:textId="16756C29" w:rsidR="00D94FBE" w:rsidRPr="00AC2F9A" w:rsidRDefault="00D94FBE" w:rsidP="00D94FBE">
      <w:pPr>
        <w:rPr>
          <w:b/>
          <w:bCs/>
          <w:u w:val="single"/>
        </w:rPr>
      </w:pPr>
      <w:r>
        <w:rPr>
          <w:b/>
          <w:bCs/>
          <w:u w:val="single"/>
        </w:rPr>
        <w:t>Proposal</w:t>
      </w:r>
      <w:r w:rsidRPr="00AC2F9A">
        <w:rPr>
          <w:b/>
          <w:bCs/>
          <w:u w:val="single"/>
        </w:rPr>
        <w:t xml:space="preserve"> </w:t>
      </w:r>
      <w:r>
        <w:rPr>
          <w:b/>
          <w:bCs/>
          <w:u w:val="single"/>
        </w:rPr>
        <w:t>2.</w:t>
      </w:r>
      <w:r w:rsidR="006B7978">
        <w:rPr>
          <w:b/>
          <w:bCs/>
          <w:u w:val="single"/>
        </w:rPr>
        <w:t>1</w:t>
      </w:r>
      <w:r w:rsidRPr="00AC2F9A">
        <w:rPr>
          <w:b/>
          <w:bCs/>
          <w:u w:val="single"/>
        </w:rPr>
        <w:t>:</w:t>
      </w:r>
    </w:p>
    <w:p w14:paraId="3F5D5BEA" w14:textId="73DBDA72" w:rsidR="00D94FBE" w:rsidRDefault="00D94FBE" w:rsidP="00EC5FC3">
      <w:r>
        <w:rPr>
          <w:b/>
          <w:bCs/>
        </w:rPr>
        <w:t xml:space="preserve">The Rel-16 OTA synchronization framework </w:t>
      </w:r>
      <w:r w:rsidR="004E6141">
        <w:rPr>
          <w:b/>
          <w:bCs/>
        </w:rPr>
        <w:t>is compatible with Case 7 timing</w:t>
      </w:r>
      <w:r w:rsidR="00D15DDC">
        <w:rPr>
          <w:b/>
          <w:bCs/>
        </w:rPr>
        <w:t>. The range of T_delta may need to be extended.</w:t>
      </w:r>
    </w:p>
    <w:p w14:paraId="39BA1979" w14:textId="6308A780" w:rsidR="00841F03" w:rsidRDefault="00415A3B" w:rsidP="00EC5FC3">
      <w:r>
        <w:t xml:space="preserve">The illustration for Case 6 timing is provided in </w:t>
      </w:r>
      <w:r w:rsidR="00D15DDC">
        <w:fldChar w:fldCharType="begin"/>
      </w:r>
      <w:r w:rsidR="00D15DDC">
        <w:instrText xml:space="preserve"> REF _Ref54301361 \h </w:instrText>
      </w:r>
      <w:r w:rsidR="00D15DDC">
        <w:fldChar w:fldCharType="separate"/>
      </w:r>
      <w:r w:rsidR="00D15DDC">
        <w:t xml:space="preserve">Figure </w:t>
      </w:r>
      <w:r w:rsidR="00D15DDC">
        <w:rPr>
          <w:noProof/>
        </w:rPr>
        <w:t>2</w:t>
      </w:r>
      <w:r w:rsidR="00D15DDC">
        <w:fldChar w:fldCharType="end"/>
      </w:r>
      <w:r>
        <w:t>.</w:t>
      </w:r>
    </w:p>
    <w:tbl>
      <w:tblPr>
        <w:tblStyle w:val="TableGrid"/>
        <w:tblW w:w="0" w:type="auto"/>
        <w:tblLook w:val="04A0" w:firstRow="1" w:lastRow="0" w:firstColumn="1" w:lastColumn="0" w:noHBand="0" w:noVBand="1"/>
      </w:tblPr>
      <w:tblGrid>
        <w:gridCol w:w="9629"/>
      </w:tblGrid>
      <w:tr w:rsidR="00C2056B" w14:paraId="57DFA77A" w14:textId="77777777" w:rsidTr="00C2056B">
        <w:tc>
          <w:tcPr>
            <w:tcW w:w="9629" w:type="dxa"/>
          </w:tcPr>
          <w:p w14:paraId="2489DC93" w14:textId="09176977" w:rsidR="00C2056B" w:rsidRDefault="00C2056B" w:rsidP="00EC5FC3">
            <w:r>
              <w:rPr>
                <w:noProof/>
              </w:rPr>
              <w:lastRenderedPageBreak/>
              <w:drawing>
                <wp:inline distT="0" distB="0" distL="0" distR="0" wp14:anchorId="79A2893F" wp14:editId="40C30583">
                  <wp:extent cx="5879592" cy="2843784"/>
                  <wp:effectExtent l="0" t="0" r="698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9592" cy="2843784"/>
                          </a:xfrm>
                          <a:prstGeom prst="rect">
                            <a:avLst/>
                          </a:prstGeom>
                          <a:noFill/>
                        </pic:spPr>
                      </pic:pic>
                    </a:graphicData>
                  </a:graphic>
                </wp:inline>
              </w:drawing>
            </w:r>
          </w:p>
        </w:tc>
      </w:tr>
    </w:tbl>
    <w:p w14:paraId="5753ADBC" w14:textId="7FCE3675" w:rsidR="00E02BFF" w:rsidRDefault="00C2056B" w:rsidP="00C2056B">
      <w:pPr>
        <w:pStyle w:val="Caption"/>
        <w:jc w:val="center"/>
      </w:pPr>
      <w:bookmarkStart w:id="4" w:name="_Ref54301361"/>
      <w:r>
        <w:t xml:space="preserve">Figure </w:t>
      </w:r>
      <w:r>
        <w:fldChar w:fldCharType="begin"/>
      </w:r>
      <w:r>
        <w:instrText xml:space="preserve"> SEQ Figure \* ARABIC </w:instrText>
      </w:r>
      <w:r>
        <w:fldChar w:fldCharType="separate"/>
      </w:r>
      <w:r w:rsidR="004E6141">
        <w:rPr>
          <w:noProof/>
        </w:rPr>
        <w:t>2</w:t>
      </w:r>
      <w:r>
        <w:fldChar w:fldCharType="end"/>
      </w:r>
      <w:bookmarkEnd w:id="4"/>
      <w:r>
        <w:t xml:space="preserve"> – Illustration of Case 6 timing with OTA synchronization</w:t>
      </w:r>
    </w:p>
    <w:p w14:paraId="63B07197" w14:textId="0051A96A" w:rsidR="00682514" w:rsidRDefault="00682514" w:rsidP="00EC5FC3">
      <w:r>
        <w:t xml:space="preserve">Comparing </w:t>
      </w:r>
      <w:r>
        <w:fldChar w:fldCharType="begin"/>
      </w:r>
      <w:r>
        <w:instrText xml:space="preserve"> REF _Ref54301361 \h </w:instrText>
      </w:r>
      <w:r>
        <w:fldChar w:fldCharType="separate"/>
      </w:r>
      <w:r w:rsidR="004E6141">
        <w:t xml:space="preserve">Figure </w:t>
      </w:r>
      <w:r w:rsidR="004E6141">
        <w:rPr>
          <w:noProof/>
        </w:rPr>
        <w:t>2</w:t>
      </w:r>
      <w:r>
        <w:fldChar w:fldCharType="end"/>
      </w:r>
      <w:r>
        <w:t xml:space="preserve"> with </w:t>
      </w:r>
      <w:r>
        <w:fldChar w:fldCharType="begin"/>
      </w:r>
      <w:r>
        <w:instrText xml:space="preserve"> REF _Ref54299727 \h </w:instrText>
      </w:r>
      <w:r>
        <w:fldChar w:fldCharType="separate"/>
      </w:r>
      <w:r w:rsidR="004E6141">
        <w:t xml:space="preserve">Figure </w:t>
      </w:r>
      <w:r w:rsidR="004E6141">
        <w:rPr>
          <w:noProof/>
        </w:rPr>
        <w:t>1</w:t>
      </w:r>
      <w:r>
        <w:fldChar w:fldCharType="end"/>
      </w:r>
      <w:r>
        <w:t xml:space="preserve"> it can be observed that the IAB-node MT UL slot timing for Case 6 is just a special instance of Case 1 timing, corresponding to a very specific TA value. </w:t>
      </w:r>
      <w:r w:rsidR="0099624F">
        <w:t>Specifically</w:t>
      </w:r>
      <w:r>
        <w:t>, Case 6 timing is achieved when TA is equal to the one-way propagation delay Tp.</w:t>
      </w:r>
      <w:r w:rsidR="00B1290D">
        <w:t xml:space="preserve"> This implies that the parent node can </w:t>
      </w:r>
      <w:r w:rsidR="00D4379C">
        <w:t>in principle</w:t>
      </w:r>
      <w:r w:rsidR="00B1290D">
        <w:t xml:space="preserve"> control the UL timing of its child node to meet th</w:t>
      </w:r>
      <w:r w:rsidR="00D4379C">
        <w:t>e</w:t>
      </w:r>
      <w:r w:rsidR="00B1290D">
        <w:t xml:space="preserve"> condition</w:t>
      </w:r>
      <w:r w:rsidR="00D4379C">
        <w:t xml:space="preserve"> Rx</w:t>
      </w:r>
      <w:r w:rsidR="00D4379C" w:rsidRPr="005767B5">
        <w:rPr>
          <w:vertAlign w:val="superscript"/>
        </w:rPr>
        <w:t>P</w:t>
      </w:r>
      <w:r w:rsidR="00D4379C" w:rsidRPr="005767B5">
        <w:rPr>
          <w:vertAlign w:val="subscript"/>
        </w:rPr>
        <w:t>U</w:t>
      </w:r>
      <w:r w:rsidR="00D4379C">
        <w:t xml:space="preserve"> – Tx</w:t>
      </w:r>
      <w:r w:rsidR="00D4379C" w:rsidRPr="005767B5">
        <w:rPr>
          <w:vertAlign w:val="superscript"/>
        </w:rPr>
        <w:t>P</w:t>
      </w:r>
      <w:r w:rsidR="00D4379C" w:rsidRPr="005767B5">
        <w:rPr>
          <w:vertAlign w:val="subscript"/>
        </w:rPr>
        <w:t>D</w:t>
      </w:r>
      <w:r w:rsidR="00D4379C">
        <w:t xml:space="preserve"> = TA</w:t>
      </w:r>
      <w:r w:rsidR="005767B5">
        <w:t xml:space="preserve">, where </w:t>
      </w:r>
      <w:r w:rsidR="00B1290D">
        <w:t xml:space="preserve"> </w:t>
      </w:r>
      <w:r w:rsidR="00BC1CF4">
        <w:t>Rx</w:t>
      </w:r>
      <w:r w:rsidR="00BC1CF4" w:rsidRPr="005767B5">
        <w:rPr>
          <w:vertAlign w:val="superscript"/>
        </w:rPr>
        <w:t>P</w:t>
      </w:r>
      <w:r w:rsidR="00BC1CF4" w:rsidRPr="005767B5">
        <w:rPr>
          <w:vertAlign w:val="subscript"/>
        </w:rPr>
        <w:t>U</w:t>
      </w:r>
      <w:r w:rsidR="00BC1CF4">
        <w:t xml:space="preserve"> – Tx</w:t>
      </w:r>
      <w:r w:rsidR="00BC1CF4" w:rsidRPr="005767B5">
        <w:rPr>
          <w:vertAlign w:val="superscript"/>
        </w:rPr>
        <w:t>P</w:t>
      </w:r>
      <w:r w:rsidR="00BC1CF4" w:rsidRPr="005767B5">
        <w:rPr>
          <w:vertAlign w:val="subscript"/>
        </w:rPr>
        <w:t>D</w:t>
      </w:r>
      <w:r w:rsidR="00BC1CF4">
        <w:t xml:space="preserve"> is the measured differential between UL</w:t>
      </w:r>
      <w:r w:rsidR="0099624F">
        <w:t xml:space="preserve"> </w:t>
      </w:r>
      <w:r w:rsidR="00D857AF">
        <w:t>slot timing and DL slot timing at the parent node.</w:t>
      </w:r>
      <w:r w:rsidR="006E5B38">
        <w:t xml:space="preserve"> As a result, it can be observed that Case 6 timing at a given IAB node can be achieved by the parent node controlling the IAB node UL timing appropriately.</w:t>
      </w:r>
      <w:r w:rsidR="00BB45E1">
        <w:t xml:space="preserve"> Specifically, the </w:t>
      </w:r>
      <w:r w:rsidR="003C3BFC">
        <w:t>TA adjustment at time n+1, TA</w:t>
      </w:r>
      <w:r w:rsidR="003C3BFC" w:rsidRPr="00BB45E1">
        <w:rPr>
          <w:vertAlign w:val="subscript"/>
        </w:rPr>
        <w:t>adj</w:t>
      </w:r>
      <w:r w:rsidR="003C3BFC">
        <w:t>(n+1), can be computed by the parent node as:</w:t>
      </w:r>
    </w:p>
    <w:p w14:paraId="14A7CCAC" w14:textId="3D43D26A" w:rsidR="00BB45E1" w:rsidRDefault="00BB45E1" w:rsidP="003C3BFC">
      <w:pPr>
        <w:jc w:val="center"/>
      </w:pPr>
      <w:r>
        <w:t>TA</w:t>
      </w:r>
      <w:r w:rsidRPr="00BB45E1">
        <w:rPr>
          <w:vertAlign w:val="subscript"/>
        </w:rPr>
        <w:t>adj</w:t>
      </w:r>
      <w:r>
        <w:t>(n+1) =  ( Rx</w:t>
      </w:r>
      <w:r w:rsidRPr="005767B5">
        <w:rPr>
          <w:vertAlign w:val="superscript"/>
        </w:rPr>
        <w:t>P</w:t>
      </w:r>
      <w:r w:rsidRPr="005767B5">
        <w:rPr>
          <w:vertAlign w:val="subscript"/>
        </w:rPr>
        <w:t>U</w:t>
      </w:r>
      <w:r>
        <w:t xml:space="preserve"> (n)– Tx</w:t>
      </w:r>
      <w:r w:rsidRPr="005767B5">
        <w:rPr>
          <w:vertAlign w:val="superscript"/>
        </w:rPr>
        <w:t>P</w:t>
      </w:r>
      <w:r w:rsidRPr="005767B5">
        <w:rPr>
          <w:vertAlign w:val="subscript"/>
        </w:rPr>
        <w:t>D</w:t>
      </w:r>
      <w:r>
        <w:t xml:space="preserve"> (n) – TA(n) ) / 2</w:t>
      </w:r>
    </w:p>
    <w:p w14:paraId="629B7C36" w14:textId="0BA9D2F8" w:rsidR="006E5B38" w:rsidRPr="00AC2F9A" w:rsidRDefault="006E5B38" w:rsidP="006E5B38">
      <w:pPr>
        <w:rPr>
          <w:b/>
          <w:bCs/>
          <w:u w:val="single"/>
        </w:rPr>
      </w:pPr>
      <w:r w:rsidRPr="00AC2F9A">
        <w:rPr>
          <w:b/>
          <w:bCs/>
          <w:u w:val="single"/>
        </w:rPr>
        <w:t xml:space="preserve">Observation </w:t>
      </w:r>
      <w:r w:rsidR="00CE004F">
        <w:rPr>
          <w:b/>
          <w:bCs/>
          <w:u w:val="single"/>
        </w:rPr>
        <w:t>2</w:t>
      </w:r>
      <w:r w:rsidR="003F5E6B">
        <w:rPr>
          <w:b/>
          <w:bCs/>
          <w:u w:val="single"/>
        </w:rPr>
        <w:t>.</w:t>
      </w:r>
      <w:r w:rsidR="006B7978">
        <w:rPr>
          <w:b/>
          <w:bCs/>
          <w:u w:val="single"/>
        </w:rPr>
        <w:t>1</w:t>
      </w:r>
      <w:r w:rsidRPr="00AC2F9A">
        <w:rPr>
          <w:b/>
          <w:bCs/>
          <w:u w:val="single"/>
        </w:rPr>
        <w:t>:</w:t>
      </w:r>
    </w:p>
    <w:p w14:paraId="57988E2B" w14:textId="598EFE49" w:rsidR="006E5B38" w:rsidRDefault="00CD043F" w:rsidP="006E5B38">
      <w:r w:rsidRPr="00CD043F">
        <w:rPr>
          <w:b/>
          <w:bCs/>
        </w:rPr>
        <w:t>Case 6 timing at a given IAB node can be achieved by the parent node controlling the IAB node UL timing appropriately.</w:t>
      </w:r>
    </w:p>
    <w:p w14:paraId="607034EA" w14:textId="022B175C" w:rsidR="00682514" w:rsidRDefault="00CD043F" w:rsidP="00EC5FC3">
      <w:r>
        <w:t xml:space="preserve">Moreover, as illustrated in </w:t>
      </w:r>
      <w:r>
        <w:fldChar w:fldCharType="begin"/>
      </w:r>
      <w:r>
        <w:instrText xml:space="preserve"> REF _Ref54301361 \h </w:instrText>
      </w:r>
      <w:r>
        <w:fldChar w:fldCharType="separate"/>
      </w:r>
      <w:r w:rsidR="0098069C">
        <w:t xml:space="preserve">Figure </w:t>
      </w:r>
      <w:r w:rsidR="0098069C">
        <w:rPr>
          <w:noProof/>
        </w:rPr>
        <w:t>2</w:t>
      </w:r>
      <w:r>
        <w:fldChar w:fldCharType="end"/>
      </w:r>
      <w:r>
        <w:t>, at the same time the IAB-MT UL timing is controlled by the parent for Case 6, OTA synchronization of the IAB-DU to its parent can be achieved concurrently using the mechanism defined in Rel-16.</w:t>
      </w:r>
    </w:p>
    <w:p w14:paraId="51679D73" w14:textId="153C61E4" w:rsidR="00CD043F" w:rsidRPr="00AC2F9A" w:rsidRDefault="00CD043F" w:rsidP="00CD043F">
      <w:pPr>
        <w:rPr>
          <w:b/>
          <w:bCs/>
          <w:u w:val="single"/>
        </w:rPr>
      </w:pPr>
      <w:r w:rsidRPr="00AC2F9A">
        <w:rPr>
          <w:b/>
          <w:bCs/>
          <w:u w:val="single"/>
        </w:rPr>
        <w:t xml:space="preserve">Observation </w:t>
      </w:r>
      <w:r w:rsidR="00CE004F">
        <w:rPr>
          <w:b/>
          <w:bCs/>
          <w:u w:val="single"/>
        </w:rPr>
        <w:t>2</w:t>
      </w:r>
      <w:r w:rsidR="003F5E6B">
        <w:rPr>
          <w:b/>
          <w:bCs/>
          <w:u w:val="single"/>
        </w:rPr>
        <w:t>.</w:t>
      </w:r>
      <w:r w:rsidR="0004766A">
        <w:rPr>
          <w:b/>
          <w:bCs/>
          <w:u w:val="single"/>
        </w:rPr>
        <w:t>2</w:t>
      </w:r>
      <w:r w:rsidRPr="00AC2F9A">
        <w:rPr>
          <w:b/>
          <w:bCs/>
          <w:u w:val="single"/>
        </w:rPr>
        <w:t>:</w:t>
      </w:r>
    </w:p>
    <w:p w14:paraId="0F101F4B" w14:textId="1030FA60" w:rsidR="00CD043F" w:rsidRDefault="00CD043F" w:rsidP="00CD043F">
      <w:r>
        <w:rPr>
          <w:b/>
          <w:bCs/>
        </w:rPr>
        <w:t>OTA synchronization for IAB can be achieved using the Rel-16 mechanism concurrently with Case 6 timing</w:t>
      </w:r>
      <w:r w:rsidR="008E126F">
        <w:rPr>
          <w:b/>
          <w:bCs/>
        </w:rPr>
        <w:t xml:space="preserve"> controlled by the parent node</w:t>
      </w:r>
      <w:r w:rsidR="00D6464E">
        <w:rPr>
          <w:b/>
          <w:bCs/>
        </w:rPr>
        <w:t xml:space="preserve"> via the TA mechanism</w:t>
      </w:r>
      <w:r w:rsidR="008E126F">
        <w:rPr>
          <w:b/>
          <w:bCs/>
        </w:rPr>
        <w:t>.</w:t>
      </w:r>
      <w:r>
        <w:rPr>
          <w:b/>
          <w:bCs/>
        </w:rPr>
        <w:t xml:space="preserve"> </w:t>
      </w:r>
    </w:p>
    <w:p w14:paraId="732D083C" w14:textId="0251A803" w:rsidR="00682514" w:rsidRDefault="00D8196C" w:rsidP="00EC5FC3">
      <w:r>
        <w:t xml:space="preserve">As a </w:t>
      </w:r>
      <w:r w:rsidR="0099624F">
        <w:t>result,</w:t>
      </w:r>
      <w:r>
        <w:t xml:space="preserve"> we have the following proposal:</w:t>
      </w:r>
    </w:p>
    <w:p w14:paraId="76EF7D97" w14:textId="577E91C9" w:rsidR="00D8196C" w:rsidRPr="00AC2F9A" w:rsidRDefault="00D8196C" w:rsidP="00D8196C">
      <w:pPr>
        <w:rPr>
          <w:b/>
          <w:bCs/>
          <w:u w:val="single"/>
        </w:rPr>
      </w:pPr>
      <w:r>
        <w:rPr>
          <w:b/>
          <w:bCs/>
          <w:u w:val="single"/>
        </w:rPr>
        <w:t>Proposal</w:t>
      </w:r>
      <w:r w:rsidRPr="00AC2F9A">
        <w:rPr>
          <w:b/>
          <w:bCs/>
          <w:u w:val="single"/>
        </w:rPr>
        <w:t xml:space="preserve"> </w:t>
      </w:r>
      <w:r w:rsidR="00CE004F">
        <w:rPr>
          <w:b/>
          <w:bCs/>
          <w:u w:val="single"/>
        </w:rPr>
        <w:t>2</w:t>
      </w:r>
      <w:r w:rsidR="003F5E6B">
        <w:rPr>
          <w:b/>
          <w:bCs/>
          <w:u w:val="single"/>
        </w:rPr>
        <w:t>.</w:t>
      </w:r>
      <w:r w:rsidR="006B7978">
        <w:rPr>
          <w:b/>
          <w:bCs/>
          <w:u w:val="single"/>
        </w:rPr>
        <w:t>2</w:t>
      </w:r>
      <w:r w:rsidRPr="00AC2F9A">
        <w:rPr>
          <w:b/>
          <w:bCs/>
          <w:u w:val="single"/>
        </w:rPr>
        <w:t>:</w:t>
      </w:r>
    </w:p>
    <w:p w14:paraId="0D79B614" w14:textId="391DD7C7" w:rsidR="0098069C" w:rsidRDefault="0098069C" w:rsidP="0098069C">
      <w:r>
        <w:rPr>
          <w:b/>
          <w:bCs/>
        </w:rPr>
        <w:t>The Rel-16 OTA synchronization framework is compatible with Case 6 timing and no enhancements are specifically required</w:t>
      </w:r>
      <w:r w:rsidR="00D6464E">
        <w:rPr>
          <w:b/>
          <w:bCs/>
        </w:rPr>
        <w:t xml:space="preserve"> if uplink Tx timing of an IAB-node is controlled by the parent node via the TA mechanism</w:t>
      </w:r>
      <w:r w:rsidRPr="00CD043F">
        <w:rPr>
          <w:b/>
          <w:bCs/>
        </w:rPr>
        <w:t>.</w:t>
      </w:r>
    </w:p>
    <w:p w14:paraId="692021DA" w14:textId="76E3D55E" w:rsidR="00372D0F" w:rsidRDefault="003E2411" w:rsidP="00372D0F">
      <w:r>
        <w:t xml:space="preserve">The main </w:t>
      </w:r>
      <w:r w:rsidR="00E0766F">
        <w:t>open issue</w:t>
      </w:r>
      <w:r>
        <w:t xml:space="preserve"> </w:t>
      </w:r>
      <w:r w:rsidR="00E0766F">
        <w:t>related to</w:t>
      </w:r>
      <w:r>
        <w:t xml:space="preserve"> Case 7 timing is that</w:t>
      </w:r>
      <w:r w:rsidR="00526898">
        <w:t xml:space="preserve"> in some conditions</w:t>
      </w:r>
      <w:r>
        <w:t xml:space="preserve"> it may not be realizable with Rel-15 UL timing control procedures as it would require a negative effectiv</w:t>
      </w:r>
      <w:r w:rsidR="00526898">
        <w:t>e TA</w:t>
      </w:r>
      <w:r>
        <w:t xml:space="preserve"> on the uplink transmission timing</w:t>
      </w:r>
      <w:r w:rsidR="00AC2CCB">
        <w:t xml:space="preserve"> if slot alignment is necessary</w:t>
      </w:r>
      <w:r>
        <w:t>.</w:t>
      </w:r>
      <w:r w:rsidR="00D749F7">
        <w:t xml:space="preserve"> Specifically, this would occur when the one way delay to the parent node is larger than the round trip delay to the child node.</w:t>
      </w:r>
      <w:r w:rsidR="00AC2CCB">
        <w:t xml:space="preserve"> This would not be necessary if only symbol alignment would be required. </w:t>
      </w:r>
      <w:r w:rsidR="00372D0F">
        <w:t>The following was agreed in RAN1#103-e [</w:t>
      </w:r>
      <w:r w:rsidR="0042277C">
        <w:t>2</w:t>
      </w:r>
      <w:r w:rsidR="00372D0F">
        <w:t>]:</w:t>
      </w:r>
    </w:p>
    <w:tbl>
      <w:tblPr>
        <w:tblStyle w:val="TableGrid"/>
        <w:tblW w:w="0" w:type="auto"/>
        <w:tblLook w:val="04A0" w:firstRow="1" w:lastRow="0" w:firstColumn="1" w:lastColumn="0" w:noHBand="0" w:noVBand="1"/>
      </w:tblPr>
      <w:tblGrid>
        <w:gridCol w:w="9629"/>
      </w:tblGrid>
      <w:tr w:rsidR="00AC2CCB" w14:paraId="3A8DF5D2" w14:textId="77777777" w:rsidTr="00AC2CCB">
        <w:tc>
          <w:tcPr>
            <w:tcW w:w="9629" w:type="dxa"/>
          </w:tcPr>
          <w:p w14:paraId="2029B09D" w14:textId="77777777" w:rsidR="00AC2CCB" w:rsidRPr="00A12CC0" w:rsidRDefault="00AC2CCB" w:rsidP="00AC2CCB">
            <w:pPr>
              <w:rPr>
                <w:b/>
                <w:bCs/>
              </w:rPr>
            </w:pPr>
            <w:r w:rsidRPr="005443B7">
              <w:rPr>
                <w:b/>
                <w:bCs/>
              </w:rPr>
              <w:t>RAN1#10</w:t>
            </w:r>
            <w:r>
              <w:rPr>
                <w:b/>
                <w:bCs/>
              </w:rPr>
              <w:t>3</w:t>
            </w:r>
            <w:r w:rsidRPr="005443B7">
              <w:rPr>
                <w:b/>
                <w:bCs/>
              </w:rPr>
              <w:t>-</w:t>
            </w:r>
            <w:r>
              <w:rPr>
                <w:b/>
                <w:bCs/>
              </w:rPr>
              <w:t>e</w:t>
            </w:r>
            <w:r w:rsidRPr="005443B7">
              <w:rPr>
                <w:b/>
                <w:bCs/>
              </w:rPr>
              <w:t xml:space="preserve"> Agreements</w:t>
            </w:r>
          </w:p>
          <w:p w14:paraId="20F3AE53" w14:textId="77777777" w:rsidR="00414090" w:rsidRDefault="00414090" w:rsidP="00414090">
            <w:pPr>
              <w:rPr>
                <w:rFonts w:eastAsia="Calibri" w:cs="Times"/>
                <w:b/>
                <w:bCs/>
                <w:color w:val="000000"/>
                <w:highlight w:val="green"/>
              </w:rPr>
            </w:pPr>
            <w:r>
              <w:rPr>
                <w:rFonts w:eastAsia="Calibri" w:cs="Times"/>
                <w:b/>
                <w:bCs/>
                <w:color w:val="000000"/>
                <w:highlight w:val="green"/>
              </w:rPr>
              <w:t>Agreement</w:t>
            </w:r>
          </w:p>
          <w:p w14:paraId="3F73773A" w14:textId="77777777" w:rsidR="00414090" w:rsidRDefault="00414090" w:rsidP="00414090">
            <w:pPr>
              <w:rPr>
                <w:rFonts w:eastAsia="Calibri" w:cs="Times"/>
                <w:color w:val="000000"/>
              </w:rPr>
            </w:pPr>
            <w:r>
              <w:rPr>
                <w:rFonts w:eastAsia="Calibri" w:cs="Times"/>
                <w:color w:val="000000"/>
              </w:rPr>
              <w:t>Select one or both of the following modes of operation for Case 7 timing in RAN1#104-e:</w:t>
            </w:r>
          </w:p>
          <w:p w14:paraId="4BB1B413" w14:textId="77777777" w:rsidR="00414090" w:rsidRDefault="00414090" w:rsidP="00414090">
            <w:pPr>
              <w:pStyle w:val="ListParagraph"/>
              <w:numPr>
                <w:ilvl w:val="0"/>
                <w:numId w:val="12"/>
              </w:numPr>
              <w:overflowPunct/>
              <w:autoSpaceDE/>
              <w:autoSpaceDN/>
              <w:adjustRightInd/>
              <w:spacing w:after="0"/>
              <w:rPr>
                <w:rFonts w:eastAsia="Calibri" w:cs="Times"/>
                <w:color w:val="000000"/>
              </w:rPr>
            </w:pPr>
            <w:r>
              <w:rPr>
                <w:rFonts w:eastAsia="Calibri" w:cs="Times"/>
                <w:color w:val="000000"/>
              </w:rPr>
              <w:lastRenderedPageBreak/>
              <w:t>symbol level alignment without slot level alignment</w:t>
            </w:r>
          </w:p>
          <w:p w14:paraId="3BA4C107" w14:textId="26EDF69B" w:rsidR="00AC2CCB" w:rsidRPr="00414090" w:rsidRDefault="00414090" w:rsidP="00EC5FC3">
            <w:pPr>
              <w:pStyle w:val="ListParagraph"/>
              <w:numPr>
                <w:ilvl w:val="0"/>
                <w:numId w:val="12"/>
              </w:numPr>
              <w:overflowPunct/>
              <w:autoSpaceDE/>
              <w:autoSpaceDN/>
              <w:adjustRightInd/>
              <w:spacing w:after="0"/>
              <w:rPr>
                <w:rFonts w:eastAsia="Batang" w:cs="Times"/>
              </w:rPr>
            </w:pPr>
            <w:r>
              <w:rPr>
                <w:rFonts w:eastAsia="Calibri" w:cs="Times"/>
                <w:color w:val="000000"/>
              </w:rPr>
              <w:t>slot level alignment</w:t>
            </w:r>
          </w:p>
        </w:tc>
      </w:tr>
    </w:tbl>
    <w:p w14:paraId="3BC2E808" w14:textId="77777777" w:rsidR="00AC2CCB" w:rsidRDefault="00AC2CCB" w:rsidP="00EC5FC3"/>
    <w:p w14:paraId="6954079F" w14:textId="77777777" w:rsidR="00FD7414" w:rsidRDefault="00FD7414" w:rsidP="00EC5FC3">
      <w:pPr>
        <w:rPr>
          <w:b/>
          <w:bCs/>
          <w:u w:val="single"/>
        </w:rPr>
      </w:pPr>
    </w:p>
    <w:p w14:paraId="559DD8ED" w14:textId="2C600219" w:rsidR="00BA3A32" w:rsidRPr="00AC2F9A" w:rsidRDefault="00BA3A32" w:rsidP="00EC5FC3">
      <w:pPr>
        <w:rPr>
          <w:b/>
          <w:bCs/>
          <w:u w:val="single"/>
        </w:rPr>
      </w:pPr>
      <w:r w:rsidRPr="00AC2F9A">
        <w:rPr>
          <w:b/>
          <w:bCs/>
          <w:u w:val="single"/>
        </w:rPr>
        <w:t xml:space="preserve">Observation </w:t>
      </w:r>
      <w:r w:rsidR="00CE004F">
        <w:rPr>
          <w:b/>
          <w:bCs/>
          <w:u w:val="single"/>
        </w:rPr>
        <w:t>2</w:t>
      </w:r>
      <w:r w:rsidR="003F5E6B">
        <w:rPr>
          <w:b/>
          <w:bCs/>
          <w:u w:val="single"/>
        </w:rPr>
        <w:t>.</w:t>
      </w:r>
      <w:r w:rsidR="006B7978">
        <w:rPr>
          <w:b/>
          <w:bCs/>
          <w:u w:val="single"/>
        </w:rPr>
        <w:t>3</w:t>
      </w:r>
      <w:r w:rsidRPr="00AC2F9A">
        <w:rPr>
          <w:b/>
          <w:bCs/>
          <w:u w:val="single"/>
        </w:rPr>
        <w:t>:</w:t>
      </w:r>
    </w:p>
    <w:p w14:paraId="2397F064" w14:textId="68CCB4D0" w:rsidR="00BA3A32" w:rsidRDefault="00BA3A32" w:rsidP="00EC5FC3">
      <w:pPr>
        <w:rPr>
          <w:b/>
          <w:bCs/>
        </w:rPr>
      </w:pPr>
      <w:r w:rsidRPr="00AC2F9A">
        <w:rPr>
          <w:b/>
          <w:bCs/>
        </w:rPr>
        <w:t xml:space="preserve">Operation in Case 7 timing mode may require </w:t>
      </w:r>
      <w:r w:rsidR="00D749F7">
        <w:rPr>
          <w:b/>
          <w:bCs/>
        </w:rPr>
        <w:t xml:space="preserve">in some conditions </w:t>
      </w:r>
      <w:r w:rsidR="00D749F7" w:rsidRPr="00D749F7">
        <w:rPr>
          <w:b/>
          <w:bCs/>
        </w:rPr>
        <w:t>a negative effective TA on the uplink transmission timing</w:t>
      </w:r>
      <w:r w:rsidR="005F4F38" w:rsidRPr="00AC2F9A">
        <w:rPr>
          <w:b/>
          <w:bCs/>
        </w:rPr>
        <w:t>.</w:t>
      </w:r>
      <w:r w:rsidR="00D749F7">
        <w:rPr>
          <w:b/>
          <w:bCs/>
        </w:rPr>
        <w:t xml:space="preserve"> </w:t>
      </w:r>
      <w:r w:rsidR="00D749F7" w:rsidRPr="00D749F7">
        <w:rPr>
          <w:b/>
          <w:bCs/>
        </w:rPr>
        <w:t>Specifically, this would occur when the one way delay to the parent node is larger than the round trip delay to the child node</w:t>
      </w:r>
      <w:r w:rsidR="006B7978">
        <w:rPr>
          <w:b/>
          <w:bCs/>
        </w:rPr>
        <w:t xml:space="preserve"> and slot alignment is required</w:t>
      </w:r>
      <w:r w:rsidR="00D749F7" w:rsidRPr="00D749F7">
        <w:rPr>
          <w:b/>
          <w:bCs/>
        </w:rPr>
        <w:t>.</w:t>
      </w:r>
      <w:r w:rsidR="006B7978">
        <w:rPr>
          <w:b/>
          <w:bCs/>
        </w:rPr>
        <w:t xml:space="preserve"> Enforcing slot alignment provides more flexibility.</w:t>
      </w:r>
    </w:p>
    <w:p w14:paraId="599B101F" w14:textId="02F67E06" w:rsidR="0098286A" w:rsidRPr="0098286A" w:rsidRDefault="0098286A" w:rsidP="00EC5FC3">
      <w:r>
        <w:t>As a result, we have the following proposal:</w:t>
      </w:r>
    </w:p>
    <w:p w14:paraId="2E9BF2AE" w14:textId="19252D24" w:rsidR="009C333D" w:rsidRPr="00AC2F9A" w:rsidRDefault="009C333D" w:rsidP="009C333D">
      <w:pPr>
        <w:rPr>
          <w:b/>
          <w:bCs/>
          <w:u w:val="single"/>
        </w:rPr>
      </w:pPr>
      <w:r>
        <w:rPr>
          <w:b/>
          <w:bCs/>
          <w:u w:val="single"/>
        </w:rPr>
        <w:t>Proposal</w:t>
      </w:r>
      <w:r w:rsidRPr="00AC2F9A">
        <w:rPr>
          <w:b/>
          <w:bCs/>
          <w:u w:val="single"/>
        </w:rPr>
        <w:t xml:space="preserve"> </w:t>
      </w:r>
      <w:r w:rsidR="00CE004F">
        <w:rPr>
          <w:b/>
          <w:bCs/>
          <w:u w:val="single"/>
        </w:rPr>
        <w:t>2</w:t>
      </w:r>
      <w:r w:rsidR="003F5E6B">
        <w:rPr>
          <w:b/>
          <w:bCs/>
          <w:u w:val="single"/>
        </w:rPr>
        <w:t>.</w:t>
      </w:r>
      <w:r w:rsidR="006B7978">
        <w:rPr>
          <w:b/>
          <w:bCs/>
          <w:u w:val="single"/>
        </w:rPr>
        <w:t>3</w:t>
      </w:r>
      <w:r w:rsidRPr="00AC2F9A">
        <w:rPr>
          <w:b/>
          <w:bCs/>
          <w:u w:val="single"/>
        </w:rPr>
        <w:t>:</w:t>
      </w:r>
    </w:p>
    <w:p w14:paraId="277780FB" w14:textId="389B2721" w:rsidR="009C333D" w:rsidRPr="00AC2F9A" w:rsidRDefault="006B7978" w:rsidP="009C333D">
      <w:pPr>
        <w:rPr>
          <w:b/>
          <w:bCs/>
        </w:rPr>
      </w:pPr>
      <w:r>
        <w:rPr>
          <w:b/>
          <w:bCs/>
        </w:rPr>
        <w:t>Slot level alignment for C</w:t>
      </w:r>
      <w:r w:rsidR="0099624F">
        <w:rPr>
          <w:b/>
          <w:bCs/>
        </w:rPr>
        <w:t>a</w:t>
      </w:r>
      <w:r>
        <w:rPr>
          <w:b/>
          <w:bCs/>
        </w:rPr>
        <w:t xml:space="preserve">se 7 timing is supported. </w:t>
      </w:r>
      <w:r w:rsidR="009C333D">
        <w:rPr>
          <w:b/>
          <w:bCs/>
        </w:rPr>
        <w:t xml:space="preserve">The </w:t>
      </w:r>
      <w:r w:rsidR="00A12459">
        <w:rPr>
          <w:b/>
          <w:bCs/>
        </w:rPr>
        <w:t>effective</w:t>
      </w:r>
      <w:r w:rsidR="009C333D">
        <w:rPr>
          <w:b/>
          <w:bCs/>
        </w:rPr>
        <w:t xml:space="preserve"> </w:t>
      </w:r>
      <w:r w:rsidR="00526898">
        <w:rPr>
          <w:b/>
          <w:bCs/>
        </w:rPr>
        <w:t>TA</w:t>
      </w:r>
      <w:r w:rsidR="009C333D">
        <w:rPr>
          <w:b/>
          <w:bCs/>
        </w:rPr>
        <w:t xml:space="preserve"> </w:t>
      </w:r>
      <w:r w:rsidR="00A12459">
        <w:rPr>
          <w:b/>
          <w:bCs/>
        </w:rPr>
        <w:t xml:space="preserve">for UL timing </w:t>
      </w:r>
      <w:r w:rsidR="009C333D">
        <w:rPr>
          <w:b/>
          <w:bCs/>
        </w:rPr>
        <w:t xml:space="preserve">control is extended to the negative domain for the IAB-MT. </w:t>
      </w:r>
    </w:p>
    <w:p w14:paraId="730DCC72" w14:textId="1F70348F" w:rsidR="0022026D" w:rsidRDefault="0022026D" w:rsidP="0022026D"/>
    <w:p w14:paraId="0DE8B593" w14:textId="73A9D18B" w:rsidR="00233BA2" w:rsidRDefault="00F432A8" w:rsidP="006A3724">
      <w:pPr>
        <w:pStyle w:val="Heading2"/>
      </w:pPr>
      <w:r>
        <w:t xml:space="preserve">3. </w:t>
      </w:r>
      <w:r w:rsidR="006A3724">
        <w:t>Interference management</w:t>
      </w:r>
    </w:p>
    <w:p w14:paraId="181785AE" w14:textId="77777777" w:rsidR="00175120" w:rsidRDefault="00175120" w:rsidP="00175120">
      <w:r>
        <w:t>RAN1-103e agreed to the following interference scenarios to be further discussed:</w:t>
      </w:r>
    </w:p>
    <w:tbl>
      <w:tblPr>
        <w:tblStyle w:val="TableGrid"/>
        <w:tblW w:w="0" w:type="auto"/>
        <w:tblLook w:val="04A0" w:firstRow="1" w:lastRow="0" w:firstColumn="1" w:lastColumn="0" w:noHBand="0" w:noVBand="1"/>
      </w:tblPr>
      <w:tblGrid>
        <w:gridCol w:w="9629"/>
      </w:tblGrid>
      <w:tr w:rsidR="00175120" w14:paraId="1ABDEA46" w14:textId="77777777" w:rsidTr="00E64C2A">
        <w:tc>
          <w:tcPr>
            <w:tcW w:w="9629" w:type="dxa"/>
          </w:tcPr>
          <w:p w14:paraId="59703428" w14:textId="77777777" w:rsidR="00175120" w:rsidRDefault="00175120" w:rsidP="00E64C2A">
            <w:pPr>
              <w:rPr>
                <w:lang w:val="en-US"/>
              </w:rPr>
            </w:pPr>
            <w:r w:rsidRPr="00CD1061">
              <w:rPr>
                <w:highlight w:val="green"/>
                <w:lang w:val="en-US"/>
              </w:rPr>
              <w:t>Agreement:</w:t>
            </w:r>
          </w:p>
          <w:p w14:paraId="408DDB77" w14:textId="77777777" w:rsidR="00175120" w:rsidRPr="00CD1061" w:rsidRDefault="00175120" w:rsidP="00E64C2A">
            <w:pPr>
              <w:pStyle w:val="ListParagraph"/>
              <w:numPr>
                <w:ilvl w:val="0"/>
                <w:numId w:val="3"/>
              </w:numPr>
              <w:rPr>
                <w:lang w:val="en-US"/>
              </w:rPr>
            </w:pPr>
            <w:r w:rsidRPr="00CD1061">
              <w:rPr>
                <w:lang w:val="en-US"/>
              </w:rPr>
              <w:t xml:space="preserve">Interference management for the following IAB interference scenarios should be discussed: </w:t>
            </w:r>
          </w:p>
          <w:p w14:paraId="1D294484" w14:textId="77777777" w:rsidR="00175120" w:rsidRPr="00CD1061" w:rsidRDefault="00175120" w:rsidP="00E64C2A">
            <w:pPr>
              <w:pStyle w:val="ListParagraph"/>
              <w:numPr>
                <w:ilvl w:val="1"/>
                <w:numId w:val="3"/>
              </w:numPr>
              <w:rPr>
                <w:lang w:val="en-US"/>
              </w:rPr>
            </w:pPr>
            <w:r w:rsidRPr="00B76083">
              <w:t xml:space="preserve">Inter-IAB scenarios, including: </w:t>
            </w:r>
          </w:p>
          <w:p w14:paraId="53363F17" w14:textId="77777777" w:rsidR="00175120" w:rsidRPr="00CD1061" w:rsidRDefault="00175120" w:rsidP="00E64C2A">
            <w:pPr>
              <w:pStyle w:val="ListParagraph"/>
              <w:numPr>
                <w:ilvl w:val="2"/>
                <w:numId w:val="3"/>
              </w:numPr>
              <w:rPr>
                <w:lang w:val="en-US"/>
              </w:rPr>
            </w:pPr>
            <w:r w:rsidRPr="00B76083">
              <w:t>MT to MT, DU to DU, DU to MT, and MT to DU.</w:t>
            </w:r>
          </w:p>
          <w:p w14:paraId="631F259A" w14:textId="77777777" w:rsidR="00175120" w:rsidRPr="00CD1061" w:rsidRDefault="00175120" w:rsidP="00E64C2A">
            <w:pPr>
              <w:pStyle w:val="ListParagraph"/>
              <w:numPr>
                <w:ilvl w:val="1"/>
                <w:numId w:val="3"/>
              </w:numPr>
              <w:rPr>
                <w:lang w:val="en-US"/>
              </w:rPr>
            </w:pPr>
            <w:r w:rsidRPr="00B76083">
              <w:t>Interference to non-IAB nodes, including:</w:t>
            </w:r>
          </w:p>
          <w:p w14:paraId="3CF27364" w14:textId="77777777" w:rsidR="00175120" w:rsidRPr="00CD1061" w:rsidRDefault="00175120" w:rsidP="00E64C2A">
            <w:pPr>
              <w:pStyle w:val="ListParagraph"/>
              <w:numPr>
                <w:ilvl w:val="2"/>
                <w:numId w:val="3"/>
              </w:numPr>
              <w:rPr>
                <w:lang w:val="en-US"/>
              </w:rPr>
            </w:pPr>
            <w:r w:rsidRPr="00B76083">
              <w:t>IAB-DU to non-IAB-DU</w:t>
            </w:r>
          </w:p>
          <w:p w14:paraId="3C419321" w14:textId="77777777" w:rsidR="00175120" w:rsidRPr="00CD1061" w:rsidRDefault="00175120" w:rsidP="00E64C2A">
            <w:pPr>
              <w:pStyle w:val="ListParagraph"/>
              <w:numPr>
                <w:ilvl w:val="2"/>
                <w:numId w:val="3"/>
              </w:numPr>
              <w:rPr>
                <w:lang w:val="en-US"/>
              </w:rPr>
            </w:pPr>
            <w:r w:rsidRPr="00B76083">
              <w:t>IAB-MT to non-IAB-DU</w:t>
            </w:r>
          </w:p>
          <w:p w14:paraId="3AB61DA0" w14:textId="77777777" w:rsidR="00175120" w:rsidRPr="00CD1061" w:rsidRDefault="00175120" w:rsidP="00E64C2A">
            <w:pPr>
              <w:pStyle w:val="ListParagraph"/>
              <w:numPr>
                <w:ilvl w:val="1"/>
                <w:numId w:val="3"/>
              </w:numPr>
              <w:rPr>
                <w:lang w:val="en-US"/>
              </w:rPr>
            </w:pPr>
            <w:r w:rsidRPr="00B76083">
              <w:t>Intra-IAB-node (self-interference) scenarios (Interference between a DU and MT of an IAB-node).</w:t>
            </w:r>
          </w:p>
          <w:p w14:paraId="779B4549" w14:textId="77777777" w:rsidR="00175120" w:rsidRPr="005342CC" w:rsidRDefault="00175120" w:rsidP="00E64C2A">
            <w:pPr>
              <w:pStyle w:val="ListParagraph"/>
              <w:numPr>
                <w:ilvl w:val="0"/>
                <w:numId w:val="3"/>
              </w:numPr>
              <w:rPr>
                <w:lang w:val="en-US"/>
              </w:rPr>
            </w:pPr>
            <w:r w:rsidRPr="00CD1061">
              <w:rPr>
                <w:lang w:val="en-US"/>
              </w:rPr>
              <w:t>This agreement does not necessarily mean that specification support is needed for any of the scenarios.</w:t>
            </w:r>
          </w:p>
        </w:tc>
      </w:tr>
    </w:tbl>
    <w:p w14:paraId="02D13083" w14:textId="77777777" w:rsidR="00175120" w:rsidRDefault="00175120" w:rsidP="00175120"/>
    <w:p w14:paraId="2E3EC418" w14:textId="77777777" w:rsidR="00175120" w:rsidRDefault="00175120" w:rsidP="00175120">
      <w:r>
        <w:t>It was further agreed, through the email discussions, that Rel-16 interference management frameworks might be used as the baseline to address IAB scenarios:</w:t>
      </w:r>
    </w:p>
    <w:tbl>
      <w:tblPr>
        <w:tblStyle w:val="TableGrid"/>
        <w:tblW w:w="0" w:type="auto"/>
        <w:tblLook w:val="04A0" w:firstRow="1" w:lastRow="0" w:firstColumn="1" w:lastColumn="0" w:noHBand="0" w:noVBand="1"/>
      </w:tblPr>
      <w:tblGrid>
        <w:gridCol w:w="9629"/>
      </w:tblGrid>
      <w:tr w:rsidR="00175120" w14:paraId="5011AA35" w14:textId="77777777" w:rsidTr="00E64C2A">
        <w:tc>
          <w:tcPr>
            <w:tcW w:w="9629" w:type="dxa"/>
          </w:tcPr>
          <w:p w14:paraId="38F59088" w14:textId="77777777" w:rsidR="00175120" w:rsidRPr="00030CE5" w:rsidRDefault="00175120" w:rsidP="00175120">
            <w:pPr>
              <w:pStyle w:val="ListParagraph"/>
              <w:numPr>
                <w:ilvl w:val="0"/>
                <w:numId w:val="14"/>
              </w:numPr>
              <w:rPr>
                <w:lang w:val="en-US"/>
              </w:rPr>
            </w:pPr>
            <w:r w:rsidRPr="00030CE5">
              <w:t>Use the Rel-16 interference management frameworks (e.g. CLI, RIM) to handle IAB interference scenarios, and discuss if any of the following enhancements are needed (not an exhaustive list):</w:t>
            </w:r>
          </w:p>
          <w:p w14:paraId="3FB68AA5" w14:textId="77777777" w:rsidR="00175120" w:rsidRPr="00030CE5" w:rsidRDefault="00175120" w:rsidP="00175120">
            <w:pPr>
              <w:pStyle w:val="ListParagraph"/>
              <w:numPr>
                <w:ilvl w:val="1"/>
                <w:numId w:val="14"/>
              </w:numPr>
              <w:rPr>
                <w:lang w:val="en-US"/>
              </w:rPr>
            </w:pPr>
            <w:r w:rsidRPr="00030CE5">
              <w:t xml:space="preserve">FFS: extend the information exchange (e.g. the resource configuration, result of CLI measurements, etc.) among different entities </w:t>
            </w:r>
            <w:r w:rsidRPr="00030CE5">
              <w:rPr>
                <w:lang w:val="en-US"/>
              </w:rPr>
              <w:t>(e.g. between parent-child nodes, adjacent IAB nodes, between network and IAB-node, etc.)  </w:t>
            </w:r>
          </w:p>
          <w:p w14:paraId="58F1C298" w14:textId="77777777" w:rsidR="00175120" w:rsidRPr="00030CE5" w:rsidRDefault="00175120" w:rsidP="00175120">
            <w:pPr>
              <w:pStyle w:val="ListParagraph"/>
              <w:numPr>
                <w:ilvl w:val="1"/>
                <w:numId w:val="14"/>
              </w:numPr>
              <w:rPr>
                <w:lang w:val="en-US"/>
              </w:rPr>
            </w:pPr>
            <w:r w:rsidRPr="00030CE5">
              <w:t>FFS: required enhancements on CLI measurement accuracy (e.g. via timing adjustment, etc.)</w:t>
            </w:r>
          </w:p>
          <w:p w14:paraId="4DC31536" w14:textId="77777777" w:rsidR="00175120" w:rsidRPr="00030CE5" w:rsidRDefault="00175120" w:rsidP="00175120">
            <w:pPr>
              <w:pStyle w:val="ListParagraph"/>
              <w:numPr>
                <w:ilvl w:val="1"/>
                <w:numId w:val="14"/>
              </w:numPr>
              <w:rPr>
                <w:lang w:val="en-US"/>
              </w:rPr>
            </w:pPr>
            <w:r w:rsidRPr="00030CE5">
              <w:t>FFS: required enhancements on CLI measurements (e.g. introducing short-term measurements, multi-beam measurements, etc.)</w:t>
            </w:r>
          </w:p>
        </w:tc>
      </w:tr>
    </w:tbl>
    <w:p w14:paraId="50BB9B2E" w14:textId="77777777" w:rsidR="00175120" w:rsidRDefault="00175120" w:rsidP="00175120"/>
    <w:p w14:paraId="483D0B14" w14:textId="77777777" w:rsidR="00175120" w:rsidRDefault="00175120" w:rsidP="00175120">
      <w:pPr>
        <w:jc w:val="both"/>
      </w:pPr>
      <w:r>
        <w:t>Since Rel-16 CLI is agreed to be potentially a baseline for IAB interference management, we first identify two general shortcomings of the Rel-16 CLI.</w:t>
      </w:r>
    </w:p>
    <w:p w14:paraId="68DED029" w14:textId="77777777" w:rsidR="00175120" w:rsidRDefault="00175120" w:rsidP="00175120">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1</w:t>
      </w:r>
      <w:r w:rsidRPr="00B41255">
        <w:rPr>
          <w:b/>
          <w:bCs/>
          <w:u w:val="single"/>
        </w:rPr>
        <w:t>:</w:t>
      </w:r>
      <w:r w:rsidRPr="00F41176">
        <w:rPr>
          <w:b/>
          <w:bCs/>
        </w:rPr>
        <w:t xml:space="preserve"> </w:t>
      </w:r>
    </w:p>
    <w:p w14:paraId="46E4A330" w14:textId="77777777" w:rsidR="00175120" w:rsidRDefault="00175120" w:rsidP="00175120">
      <w:pPr>
        <w:pStyle w:val="ListParagraph"/>
        <w:numPr>
          <w:ilvl w:val="0"/>
          <w:numId w:val="5"/>
        </w:numPr>
        <w:overflowPunct/>
        <w:autoSpaceDE/>
        <w:autoSpaceDN/>
        <w:adjustRightInd/>
        <w:spacing w:after="160" w:line="259" w:lineRule="auto"/>
        <w:jc w:val="both"/>
        <w:textAlignment w:val="auto"/>
        <w:rPr>
          <w:b/>
          <w:bCs/>
        </w:rPr>
      </w:pPr>
      <w:r>
        <w:rPr>
          <w:b/>
          <w:bCs/>
        </w:rPr>
        <w:t>Rel-16 CLI framework does not support coordination across CUs to indicate the SRS configurations for UEs/IAB-MT’s CLI measurement.</w:t>
      </w:r>
    </w:p>
    <w:p w14:paraId="4C5550AA" w14:textId="77777777" w:rsidR="00175120" w:rsidRDefault="00175120" w:rsidP="00175120">
      <w:pPr>
        <w:pStyle w:val="ListParagraph"/>
        <w:numPr>
          <w:ilvl w:val="0"/>
          <w:numId w:val="5"/>
        </w:numPr>
        <w:overflowPunct/>
        <w:autoSpaceDE/>
        <w:autoSpaceDN/>
        <w:adjustRightInd/>
        <w:spacing w:after="160" w:line="259" w:lineRule="auto"/>
        <w:jc w:val="both"/>
        <w:textAlignment w:val="auto"/>
        <w:rPr>
          <w:b/>
          <w:bCs/>
        </w:rPr>
      </w:pPr>
      <w:r>
        <w:rPr>
          <w:b/>
          <w:bCs/>
        </w:rPr>
        <w:t xml:space="preserve">Rel-16 CLI signalling (intended TDD configuration) should be extended to support IAB-specific resource configurations. </w:t>
      </w:r>
    </w:p>
    <w:p w14:paraId="000456A3" w14:textId="77777777" w:rsidR="00175120" w:rsidRDefault="00175120" w:rsidP="00175120">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417C6CA1" w14:textId="77777777" w:rsidR="00175120" w:rsidRDefault="00175120" w:rsidP="00175120">
      <w:pPr>
        <w:jc w:val="both"/>
        <w:rPr>
          <w:b/>
          <w:bCs/>
        </w:rPr>
      </w:pPr>
      <w:r>
        <w:rPr>
          <w:b/>
          <w:bCs/>
        </w:rPr>
        <w:lastRenderedPageBreak/>
        <w:t>Send an LS to RAN3 to (a) support exchange of SRS configurations among CUs for CLI measurements, and (b) extend the intended TDD configuration signalling to support IAB-specific resource configurations.</w:t>
      </w:r>
    </w:p>
    <w:p w14:paraId="5D6025EB" w14:textId="77777777" w:rsidR="00175120" w:rsidRDefault="00175120" w:rsidP="00175120"/>
    <w:p w14:paraId="4C9B905F" w14:textId="77777777" w:rsidR="00175120" w:rsidRDefault="00175120" w:rsidP="00175120">
      <w:r>
        <w:t>In the rest of this section, we provide our views for different interference scenarios identified above and how to handle each of them.</w:t>
      </w:r>
    </w:p>
    <w:p w14:paraId="06FE6ADA" w14:textId="77777777" w:rsidR="00175120" w:rsidRDefault="00175120" w:rsidP="00175120">
      <w:pPr>
        <w:pStyle w:val="Heading3"/>
      </w:pPr>
      <w:r>
        <w:t>MT-to-MT CLI management</w:t>
      </w:r>
    </w:p>
    <w:p w14:paraId="6955D49B" w14:textId="77777777" w:rsidR="00175120" w:rsidRDefault="00175120" w:rsidP="00175120">
      <w:pPr>
        <w:jc w:val="both"/>
      </w:pPr>
      <w:r w:rsidRPr="000E783A">
        <w:t>M</w:t>
      </w:r>
      <w:r>
        <w:t xml:space="preserve">T-to-MT CLI management can fundamentally reuse the Rel-16 UE-to-UE CLI framework. However, we note that the Rel-16 CLI framework is primarily a centralized (layer-3) procedure. More specifically, the CLI measurement objects are RRC configured, and the CLI measurement reports are L3 report sent to the CU. Hence, the DU is not involved in configuring the measurements, and more importantly does not get to know about the result of CLI measurements by its served UEs. This might have been fine for the UEs, who constantly move around, and their beams and interference profiles change dynamically. </w:t>
      </w:r>
    </w:p>
    <w:p w14:paraId="1CCA2CFB" w14:textId="77777777" w:rsidR="00175120" w:rsidRDefault="00175120" w:rsidP="00175120">
      <w:pPr>
        <w:jc w:val="both"/>
      </w:pPr>
      <w:r>
        <w:t xml:space="preserve">However, in an IAB-network, IAB-MTs are (i) [typically] static, (ii) their beams may change only occasionally, and (iii) they [typically] have a higher TX power than UEs. </w:t>
      </w:r>
      <w:r w:rsidRPr="00FC2797">
        <w:rPr>
          <w:i/>
          <w:iCs/>
        </w:rPr>
        <w:t>Hence, they may be subject to a strong and persistent CLI from another IAB-node (MT).</w:t>
      </w:r>
      <w:r>
        <w:t xml:space="preserve"> Furthermore, IAB-MTs carry BH traffic and any degradation to their performance (e.g. due to CLI) will have a more significant impact compared to UEs. So, it makes sense to investigate simple enhancements that can improve the MT-to-MT CLI management. </w:t>
      </w:r>
    </w:p>
    <w:p w14:paraId="132C5787" w14:textId="77777777" w:rsidR="00175120" w:rsidRDefault="00175120" w:rsidP="00175120">
      <w:pPr>
        <w:jc w:val="both"/>
      </w:pPr>
      <w:r>
        <w:t xml:space="preserve">We believe an IAB-DU would generally benefit from the knowledge of its child-node IAB-MT’s CLI measurements to schedule them more efficiently. More specifically, in case of enhanced multiplexing modes, there will be MT-To-MT CLI scenarios across adjacent hops. For example, in case of (MT TX, DU TX), IAB-MT’s transmission may cause interference at a child-node MT attempting to receive DL from IAB-DU. Or for (MT RX, DU RX), a child-node MT’s UL transmission to IAB-DU may cause interference at the IAB-MT attempting to receive DL from parent-node DU. In these scenarios, if the IAB-DU and/or the parent-node DU have information about the associated MT-to-MT CLI, they can more efficiently coordinate the schedules across the two hops. </w:t>
      </w:r>
    </w:p>
    <w:p w14:paraId="27268E51" w14:textId="77777777" w:rsidR="00175120" w:rsidRDefault="00175120" w:rsidP="00175120">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0D2E7CB7" w14:textId="77777777" w:rsidR="00175120" w:rsidRDefault="00175120" w:rsidP="00175120">
      <w:pPr>
        <w:numPr>
          <w:ilvl w:val="0"/>
          <w:numId w:val="6"/>
        </w:numPr>
        <w:overflowPunct/>
        <w:autoSpaceDE/>
        <w:autoSpaceDN/>
        <w:adjustRightInd/>
        <w:spacing w:after="160" w:line="259" w:lineRule="auto"/>
        <w:jc w:val="both"/>
        <w:textAlignment w:val="auto"/>
        <w:rPr>
          <w:b/>
          <w:bCs/>
        </w:rPr>
      </w:pPr>
      <w:r w:rsidRPr="00690F27">
        <w:rPr>
          <w:b/>
          <w:bCs/>
        </w:rPr>
        <w:t xml:space="preserve">Rel-16 CLI measurements are RRC configured, and reports are L3 reports. Hence the DU (or parent-node DU) is not involved in configuring the measurements of its UEs (or child MTs) and </w:t>
      </w:r>
      <w:r>
        <w:rPr>
          <w:b/>
          <w:bCs/>
        </w:rPr>
        <w:t xml:space="preserve">more importantly </w:t>
      </w:r>
      <w:r w:rsidRPr="00690F27">
        <w:rPr>
          <w:b/>
          <w:bCs/>
        </w:rPr>
        <w:t xml:space="preserve">does not know about the </w:t>
      </w:r>
      <w:r>
        <w:rPr>
          <w:b/>
          <w:bCs/>
        </w:rPr>
        <w:t>result</w:t>
      </w:r>
      <w:r w:rsidRPr="00690F27">
        <w:rPr>
          <w:b/>
          <w:bCs/>
        </w:rPr>
        <w:t xml:space="preserve"> of the</w:t>
      </w:r>
      <w:r>
        <w:rPr>
          <w:b/>
          <w:bCs/>
        </w:rPr>
        <w:t>ir</w:t>
      </w:r>
      <w:r w:rsidRPr="00690F27">
        <w:rPr>
          <w:b/>
          <w:bCs/>
        </w:rPr>
        <w:t xml:space="preserve"> CLI measurements.</w:t>
      </w:r>
    </w:p>
    <w:p w14:paraId="4B73304D" w14:textId="77777777" w:rsidR="00175120" w:rsidRDefault="00175120" w:rsidP="00175120">
      <w:pPr>
        <w:numPr>
          <w:ilvl w:val="0"/>
          <w:numId w:val="6"/>
        </w:numPr>
        <w:overflowPunct/>
        <w:autoSpaceDE/>
        <w:autoSpaceDN/>
        <w:adjustRightInd/>
        <w:spacing w:after="160" w:line="259" w:lineRule="auto"/>
        <w:jc w:val="both"/>
        <w:textAlignment w:val="auto"/>
        <w:rPr>
          <w:b/>
          <w:bCs/>
        </w:rPr>
      </w:pPr>
      <w:r w:rsidRPr="002F0848">
        <w:rPr>
          <w:b/>
          <w:bCs/>
        </w:rPr>
        <w:t xml:space="preserve">IAB-MTs may be subject to strong and persistent CLI from other IAB-nodes. </w:t>
      </w:r>
    </w:p>
    <w:p w14:paraId="1D10E02D" w14:textId="77777777" w:rsidR="00175120" w:rsidRPr="002F0848" w:rsidRDefault="00175120" w:rsidP="00175120">
      <w:pPr>
        <w:overflowPunct/>
        <w:autoSpaceDE/>
        <w:autoSpaceDN/>
        <w:adjustRightInd/>
        <w:spacing w:after="160" w:line="259" w:lineRule="auto"/>
        <w:jc w:val="both"/>
        <w:textAlignment w:val="auto"/>
        <w:rPr>
          <w:b/>
          <w:bCs/>
        </w:rPr>
      </w:pPr>
    </w:p>
    <w:p w14:paraId="2B74EEE6" w14:textId="77777777" w:rsidR="00175120" w:rsidRDefault="00175120" w:rsidP="00175120">
      <w:pPr>
        <w:jc w:val="both"/>
        <w:rPr>
          <w:b/>
          <w:bCs/>
        </w:rPr>
      </w:pPr>
      <w:r>
        <w:rPr>
          <w:b/>
          <w:bCs/>
          <w:u w:val="single"/>
        </w:rPr>
        <w:t>Proposal</w:t>
      </w:r>
      <w:r w:rsidRPr="00B41255">
        <w:rPr>
          <w:b/>
          <w:bCs/>
          <w:u w:val="single"/>
        </w:rPr>
        <w:t xml:space="preserve"> </w:t>
      </w:r>
      <w:r>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3FFDAB25" w14:textId="77777777" w:rsidR="00175120" w:rsidRPr="00690F27" w:rsidRDefault="00175120" w:rsidP="00175120">
      <w:pPr>
        <w:overflowPunct/>
        <w:autoSpaceDE/>
        <w:autoSpaceDN/>
        <w:adjustRightInd/>
        <w:spacing w:after="160" w:line="259" w:lineRule="auto"/>
        <w:jc w:val="both"/>
        <w:textAlignment w:val="auto"/>
        <w:rPr>
          <w:b/>
          <w:bCs/>
        </w:rPr>
      </w:pPr>
      <w:r>
        <w:rPr>
          <w:b/>
          <w:bCs/>
        </w:rPr>
        <w:t xml:space="preserve">An IAB-DU is provided with the result of CLI measurements by its child MTs, e.g. which child MTs are subject to strong CLI from neighbouring nodes.  </w:t>
      </w:r>
    </w:p>
    <w:p w14:paraId="019B9020" w14:textId="77777777" w:rsidR="00175120" w:rsidRDefault="00175120" w:rsidP="00175120"/>
    <w:p w14:paraId="47F4BB65" w14:textId="77777777" w:rsidR="00175120" w:rsidRDefault="00175120" w:rsidP="00175120">
      <w:pPr>
        <w:pStyle w:val="Heading3"/>
      </w:pPr>
      <w:r>
        <w:t>DU-to-DU CLI management</w:t>
      </w:r>
    </w:p>
    <w:p w14:paraId="12C5EC22" w14:textId="77777777" w:rsidR="00175120" w:rsidRDefault="00175120" w:rsidP="00175120">
      <w:pPr>
        <w:jc w:val="both"/>
      </w:pPr>
      <w:r>
        <w:t xml:space="preserve">There is currently no standardized DU-to-DU CLI management framework, while this is deemed necessary to guarantee inter-operability and especially in IAB networks for the CU to determine proper IAB-DU resource configurations. </w:t>
      </w:r>
    </w:p>
    <w:p w14:paraId="4E009C82" w14:textId="77777777" w:rsidR="00175120" w:rsidRDefault="00175120" w:rsidP="00175120">
      <w:pPr>
        <w:jc w:val="both"/>
      </w:pPr>
      <w:r>
        <w:t xml:space="preserve">One may argue MT-to-MT CLI measurements/reports are sufficient to characterize the CLI between their collocated DUs. However, we note (1) an IAB-MT and its [logically] collocated IAB-DU may not share the same antenna arrays, and (2) even in case of sharing the same antenna arrays, an IAB-MT typically has only a single (or very few) relevant beams for its communications, while IAB-DU may use many more beams to serve its children. </w:t>
      </w:r>
    </w:p>
    <w:p w14:paraId="0880FDFF" w14:textId="77777777" w:rsidR="00175120" w:rsidRDefault="00175120" w:rsidP="00175120">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3</w:t>
      </w:r>
      <w:r w:rsidRPr="00B41255">
        <w:rPr>
          <w:b/>
          <w:bCs/>
          <w:u w:val="single"/>
        </w:rPr>
        <w:t>:</w:t>
      </w:r>
      <w:r w:rsidRPr="00F41176">
        <w:rPr>
          <w:b/>
          <w:bCs/>
        </w:rPr>
        <w:t xml:space="preserve"> </w:t>
      </w:r>
    </w:p>
    <w:p w14:paraId="579CE026" w14:textId="77777777" w:rsidR="00175120" w:rsidRPr="00EB782F" w:rsidRDefault="00175120" w:rsidP="00175120">
      <w:pPr>
        <w:numPr>
          <w:ilvl w:val="0"/>
          <w:numId w:val="7"/>
        </w:numPr>
        <w:tabs>
          <w:tab w:val="clear" w:pos="720"/>
          <w:tab w:val="num" w:pos="360"/>
        </w:tabs>
        <w:overflowPunct/>
        <w:autoSpaceDE/>
        <w:autoSpaceDN/>
        <w:adjustRightInd/>
        <w:spacing w:after="160" w:line="259" w:lineRule="auto"/>
        <w:ind w:left="360"/>
        <w:jc w:val="both"/>
        <w:textAlignment w:val="auto"/>
        <w:rPr>
          <w:b/>
          <w:bCs/>
        </w:rPr>
      </w:pPr>
      <w:r>
        <w:rPr>
          <w:b/>
          <w:bCs/>
        </w:rPr>
        <w:t>A</w:t>
      </w:r>
      <w:r w:rsidRPr="00EB782F">
        <w:rPr>
          <w:b/>
          <w:bCs/>
        </w:rPr>
        <w:t xml:space="preserve"> standardized DU-to-DU CLI management</w:t>
      </w:r>
      <w:r>
        <w:rPr>
          <w:b/>
          <w:bCs/>
        </w:rPr>
        <w:t xml:space="preserve"> is</w:t>
      </w:r>
      <w:r w:rsidRPr="00EB782F">
        <w:rPr>
          <w:b/>
          <w:bCs/>
        </w:rPr>
        <w:t xml:space="preserve"> needed for inter-operability and especially in IAB, for a CU to determine proper resource configurations for its IAB-DUs.</w:t>
      </w:r>
    </w:p>
    <w:p w14:paraId="384FFAB5" w14:textId="77777777" w:rsidR="00175120" w:rsidRDefault="00175120" w:rsidP="00175120">
      <w:pPr>
        <w:numPr>
          <w:ilvl w:val="0"/>
          <w:numId w:val="8"/>
        </w:numPr>
        <w:tabs>
          <w:tab w:val="clear" w:pos="720"/>
          <w:tab w:val="num" w:pos="360"/>
        </w:tabs>
        <w:overflowPunct/>
        <w:autoSpaceDE/>
        <w:autoSpaceDN/>
        <w:adjustRightInd/>
        <w:spacing w:after="160" w:line="259" w:lineRule="auto"/>
        <w:ind w:left="360"/>
        <w:jc w:val="both"/>
        <w:textAlignment w:val="auto"/>
        <w:rPr>
          <w:b/>
          <w:bCs/>
        </w:rPr>
      </w:pPr>
      <w:r w:rsidRPr="002774F4">
        <w:rPr>
          <w:b/>
          <w:bCs/>
        </w:rPr>
        <w:lastRenderedPageBreak/>
        <w:t xml:space="preserve">MT-to-MT CLI </w:t>
      </w:r>
      <w:r>
        <w:rPr>
          <w:b/>
          <w:bCs/>
        </w:rPr>
        <w:t xml:space="preserve">measurements/reports </w:t>
      </w:r>
      <w:r w:rsidRPr="002774F4">
        <w:rPr>
          <w:b/>
          <w:bCs/>
        </w:rPr>
        <w:t xml:space="preserve">may not </w:t>
      </w:r>
      <w:r>
        <w:rPr>
          <w:b/>
          <w:bCs/>
        </w:rPr>
        <w:t xml:space="preserve">be </w:t>
      </w:r>
      <w:r w:rsidRPr="002774F4">
        <w:rPr>
          <w:b/>
          <w:bCs/>
        </w:rPr>
        <w:t xml:space="preserve">always sufficient to </w:t>
      </w:r>
      <w:r>
        <w:rPr>
          <w:b/>
          <w:bCs/>
        </w:rPr>
        <w:t>provide</w:t>
      </w:r>
      <w:r w:rsidRPr="002774F4">
        <w:rPr>
          <w:b/>
          <w:bCs/>
        </w:rPr>
        <w:t xml:space="preserve"> </w:t>
      </w:r>
      <w:r>
        <w:rPr>
          <w:b/>
          <w:bCs/>
        </w:rPr>
        <w:t xml:space="preserve">the required </w:t>
      </w:r>
      <w:r w:rsidRPr="002774F4">
        <w:rPr>
          <w:b/>
          <w:bCs/>
        </w:rPr>
        <w:t xml:space="preserve">information about the collocated DU-to-DU CLI. </w:t>
      </w:r>
    </w:p>
    <w:p w14:paraId="6F51B09E" w14:textId="77777777" w:rsidR="00175120" w:rsidRDefault="00175120" w:rsidP="00175120">
      <w:pPr>
        <w:jc w:val="both"/>
        <w:rPr>
          <w:b/>
          <w:bCs/>
        </w:rPr>
      </w:pPr>
    </w:p>
    <w:p w14:paraId="2BF18673" w14:textId="77777777" w:rsidR="00175120" w:rsidRDefault="00175120" w:rsidP="00175120">
      <w:pPr>
        <w:jc w:val="both"/>
      </w:pPr>
      <w:r>
        <w:t>DU-to-DU CLI measurements can be done autonomously. That is, an IAB-DU, with the knowledge about its neighbouring DU cells – acquired by the IAB-MT e.g. via SMTC, can measure CLI. However, the missing aspect is the ability of a DU to report the result of its measurements to the CU. The report could simply be the list of neighbouring DU cells causing strong CLI.</w:t>
      </w:r>
    </w:p>
    <w:p w14:paraId="6BBFB6BA" w14:textId="77777777" w:rsidR="00175120" w:rsidRPr="002774F4" w:rsidRDefault="00175120" w:rsidP="00175120">
      <w:pPr>
        <w:jc w:val="both"/>
        <w:rPr>
          <w:b/>
          <w:bCs/>
        </w:rPr>
      </w:pPr>
      <w:r w:rsidRPr="002774F4">
        <w:rPr>
          <w:b/>
          <w:bCs/>
          <w:u w:val="single"/>
        </w:rPr>
        <w:t xml:space="preserve">Observation </w:t>
      </w:r>
      <w:r>
        <w:rPr>
          <w:b/>
          <w:bCs/>
          <w:u w:val="single"/>
        </w:rPr>
        <w:t>3</w:t>
      </w:r>
      <w:r w:rsidRPr="002774F4">
        <w:rPr>
          <w:b/>
          <w:bCs/>
          <w:u w:val="single"/>
        </w:rPr>
        <w:t>.</w:t>
      </w:r>
      <w:r>
        <w:rPr>
          <w:b/>
          <w:bCs/>
          <w:u w:val="single"/>
        </w:rPr>
        <w:t>4</w:t>
      </w:r>
      <w:r w:rsidRPr="002774F4">
        <w:rPr>
          <w:b/>
          <w:bCs/>
          <w:u w:val="single"/>
        </w:rPr>
        <w:t>:</w:t>
      </w:r>
      <w:r w:rsidRPr="002774F4">
        <w:rPr>
          <w:b/>
          <w:bCs/>
        </w:rPr>
        <w:t xml:space="preserve"> </w:t>
      </w:r>
    </w:p>
    <w:p w14:paraId="34D1EC51" w14:textId="77777777" w:rsidR="00175120" w:rsidRPr="00C10D52" w:rsidRDefault="00175120" w:rsidP="00175120">
      <w:pPr>
        <w:overflowPunct/>
        <w:autoSpaceDE/>
        <w:autoSpaceDN/>
        <w:adjustRightInd/>
        <w:spacing w:after="160" w:line="259" w:lineRule="auto"/>
        <w:jc w:val="both"/>
        <w:textAlignment w:val="auto"/>
        <w:rPr>
          <w:b/>
          <w:bCs/>
        </w:rPr>
      </w:pPr>
      <w:r w:rsidRPr="00C10D52">
        <w:rPr>
          <w:b/>
          <w:bCs/>
        </w:rPr>
        <w:t>An IAB-DU can autonomously measure CLI from neighbouring DU cells, based on the available information at the IAB-MT (e.g. SMTC).</w:t>
      </w:r>
    </w:p>
    <w:p w14:paraId="7463A4E2" w14:textId="77777777" w:rsidR="00175120" w:rsidRPr="000216AC" w:rsidRDefault="00175120" w:rsidP="00175120">
      <w:pPr>
        <w:jc w:val="both"/>
        <w:rPr>
          <w:b/>
          <w:bCs/>
          <w:u w:val="single"/>
        </w:rPr>
      </w:pPr>
      <w:r w:rsidRPr="000216AC">
        <w:rPr>
          <w:b/>
          <w:bCs/>
          <w:u w:val="single"/>
        </w:rPr>
        <w:t xml:space="preserve">Proposal </w:t>
      </w:r>
      <w:r>
        <w:rPr>
          <w:b/>
          <w:bCs/>
          <w:u w:val="single"/>
        </w:rPr>
        <w:t>3</w:t>
      </w:r>
      <w:r w:rsidRPr="000216AC">
        <w:rPr>
          <w:b/>
          <w:bCs/>
          <w:u w:val="single"/>
        </w:rPr>
        <w:t>.</w:t>
      </w:r>
      <w:r>
        <w:rPr>
          <w:b/>
          <w:bCs/>
          <w:u w:val="single"/>
        </w:rPr>
        <w:t>3</w:t>
      </w:r>
      <w:r w:rsidRPr="000216AC">
        <w:rPr>
          <w:b/>
          <w:bCs/>
          <w:u w:val="single"/>
        </w:rPr>
        <w:t>:</w:t>
      </w:r>
    </w:p>
    <w:p w14:paraId="2DB95A8E" w14:textId="77777777" w:rsidR="00175120" w:rsidRDefault="00175120" w:rsidP="00175120">
      <w:pPr>
        <w:overflowPunct/>
        <w:autoSpaceDE/>
        <w:autoSpaceDN/>
        <w:adjustRightInd/>
        <w:spacing w:after="160" w:line="259" w:lineRule="auto"/>
        <w:jc w:val="both"/>
        <w:textAlignment w:val="auto"/>
        <w:rPr>
          <w:b/>
          <w:bCs/>
        </w:rPr>
      </w:pPr>
      <w:r w:rsidRPr="00C10D52">
        <w:rPr>
          <w:b/>
          <w:bCs/>
        </w:rPr>
        <w:t>Support IAB-DU reporting the result of its CLI measurements to the CU</w:t>
      </w:r>
      <w:r>
        <w:rPr>
          <w:b/>
          <w:bCs/>
        </w:rPr>
        <w:t xml:space="preserve">, </w:t>
      </w:r>
      <w:r w:rsidRPr="00C10D52">
        <w:rPr>
          <w:b/>
          <w:bCs/>
        </w:rPr>
        <w:t xml:space="preserve">e.g. the list of neighbouring DU cells with strong CLI can be reported. </w:t>
      </w:r>
    </w:p>
    <w:p w14:paraId="3AD3B528" w14:textId="77777777" w:rsidR="00175120" w:rsidRPr="000458B3" w:rsidRDefault="00175120" w:rsidP="00175120">
      <w:pPr>
        <w:pStyle w:val="ListParagraph"/>
        <w:numPr>
          <w:ilvl w:val="0"/>
          <w:numId w:val="3"/>
        </w:numPr>
        <w:rPr>
          <w:lang w:val="en-US"/>
        </w:rPr>
      </w:pPr>
      <w:r>
        <w:rPr>
          <w:b/>
          <w:bCs/>
        </w:rPr>
        <w:t xml:space="preserve">Note: this would address both IAB-DU to IAB-DU and </w:t>
      </w:r>
      <w:r w:rsidRPr="000458B3">
        <w:rPr>
          <w:b/>
          <w:bCs/>
        </w:rPr>
        <w:t>IAB-DU to non-IAB-DU</w:t>
      </w:r>
      <w:r>
        <w:rPr>
          <w:b/>
          <w:bCs/>
        </w:rPr>
        <w:t xml:space="preserve"> interference scenarios. </w:t>
      </w:r>
    </w:p>
    <w:p w14:paraId="66D98284" w14:textId="77777777" w:rsidR="00175120" w:rsidRDefault="00175120" w:rsidP="00175120"/>
    <w:p w14:paraId="4170EAA1" w14:textId="77777777" w:rsidR="00175120" w:rsidRDefault="00175120" w:rsidP="00175120">
      <w:pPr>
        <w:pStyle w:val="Heading3"/>
      </w:pPr>
      <w:r>
        <w:t xml:space="preserve">Multiplexing capability across DU-cells </w:t>
      </w:r>
    </w:p>
    <w:p w14:paraId="23E5F2D0" w14:textId="77777777" w:rsidR="00175120" w:rsidRDefault="00175120" w:rsidP="00175120">
      <w:r>
        <w:t xml:space="preserve">Different cells served by a DU may interfere with each other if their TDD configurations are not aligned. This can be characterized as </w:t>
      </w:r>
      <w:r w:rsidRPr="00820666">
        <w:rPr>
          <w:u w:val="single"/>
        </w:rPr>
        <w:t>intra-DU CLI</w:t>
      </w:r>
      <w:r>
        <w:t xml:space="preserve">. </w:t>
      </w:r>
    </w:p>
    <w:p w14:paraId="47A0E49D" w14:textId="77777777" w:rsidR="00175120" w:rsidRDefault="00175120" w:rsidP="00175120">
      <w:r>
        <w:t xml:space="preserve">However, the DU can determine, based on its implementation (e.g. a multi-TRP implementation) and autonomous measurements, whether it can support dynamic TDD across its cells. DU can hence indicate this capability to the CU to allow for more efficient IAB-DU resource configurations by the CU. </w:t>
      </w:r>
    </w:p>
    <w:p w14:paraId="026F26B8" w14:textId="77777777" w:rsidR="00175120" w:rsidRPr="002774F4" w:rsidRDefault="00175120" w:rsidP="00175120">
      <w:pPr>
        <w:jc w:val="both"/>
        <w:rPr>
          <w:b/>
          <w:bCs/>
        </w:rPr>
      </w:pPr>
      <w:r w:rsidRPr="002774F4">
        <w:rPr>
          <w:b/>
          <w:bCs/>
          <w:u w:val="single"/>
        </w:rPr>
        <w:t xml:space="preserve">Observation </w:t>
      </w:r>
      <w:r>
        <w:rPr>
          <w:b/>
          <w:bCs/>
          <w:u w:val="single"/>
        </w:rPr>
        <w:t>3</w:t>
      </w:r>
      <w:r w:rsidRPr="002774F4">
        <w:rPr>
          <w:b/>
          <w:bCs/>
          <w:u w:val="single"/>
        </w:rPr>
        <w:t>.</w:t>
      </w:r>
      <w:r>
        <w:rPr>
          <w:b/>
          <w:bCs/>
          <w:u w:val="single"/>
        </w:rPr>
        <w:t>5</w:t>
      </w:r>
      <w:r w:rsidRPr="002774F4">
        <w:rPr>
          <w:b/>
          <w:bCs/>
          <w:u w:val="single"/>
        </w:rPr>
        <w:t>:</w:t>
      </w:r>
      <w:r w:rsidRPr="002774F4">
        <w:rPr>
          <w:b/>
          <w:bCs/>
        </w:rPr>
        <w:t xml:space="preserve"> </w:t>
      </w:r>
    </w:p>
    <w:p w14:paraId="7D2CFF7C" w14:textId="77777777" w:rsidR="00175120" w:rsidRDefault="00175120" w:rsidP="00175120">
      <w:pPr>
        <w:overflowPunct/>
        <w:autoSpaceDE/>
        <w:autoSpaceDN/>
        <w:adjustRightInd/>
        <w:spacing w:after="160" w:line="259" w:lineRule="auto"/>
        <w:jc w:val="both"/>
        <w:textAlignment w:val="auto"/>
        <w:rPr>
          <w:b/>
          <w:bCs/>
        </w:rPr>
      </w:pPr>
      <w:r>
        <w:rPr>
          <w:b/>
          <w:bCs/>
        </w:rPr>
        <w:t>A DU may or may not be capable of supporting dynamic TDD across its served cells – e.g. (DU cell m TX, DU cell n RX).</w:t>
      </w:r>
    </w:p>
    <w:p w14:paraId="4252436B" w14:textId="77777777" w:rsidR="00175120" w:rsidRPr="002774F4" w:rsidRDefault="00175120" w:rsidP="00175120">
      <w:pPr>
        <w:jc w:val="both"/>
        <w:rPr>
          <w:b/>
          <w:bCs/>
        </w:rPr>
      </w:pPr>
      <w:r>
        <w:rPr>
          <w:b/>
          <w:bCs/>
          <w:u w:val="single"/>
        </w:rPr>
        <w:t>Proposal</w:t>
      </w:r>
      <w:r w:rsidRPr="002774F4">
        <w:rPr>
          <w:b/>
          <w:bCs/>
          <w:u w:val="single"/>
        </w:rPr>
        <w:t xml:space="preserve"> </w:t>
      </w:r>
      <w:r>
        <w:rPr>
          <w:b/>
          <w:bCs/>
          <w:u w:val="single"/>
        </w:rPr>
        <w:t>3</w:t>
      </w:r>
      <w:r w:rsidRPr="002774F4">
        <w:rPr>
          <w:b/>
          <w:bCs/>
          <w:u w:val="single"/>
        </w:rPr>
        <w:t>.</w:t>
      </w:r>
      <w:r>
        <w:rPr>
          <w:b/>
          <w:bCs/>
          <w:u w:val="single"/>
        </w:rPr>
        <w:t>4</w:t>
      </w:r>
      <w:r w:rsidRPr="002774F4">
        <w:rPr>
          <w:b/>
          <w:bCs/>
          <w:u w:val="single"/>
        </w:rPr>
        <w:t>:</w:t>
      </w:r>
      <w:r w:rsidRPr="002774F4">
        <w:rPr>
          <w:b/>
          <w:bCs/>
        </w:rPr>
        <w:t xml:space="preserve"> </w:t>
      </w:r>
    </w:p>
    <w:p w14:paraId="68F124BA" w14:textId="77777777" w:rsidR="00175120" w:rsidRDefault="00175120" w:rsidP="00175120">
      <w:pPr>
        <w:overflowPunct/>
        <w:autoSpaceDE/>
        <w:autoSpaceDN/>
        <w:adjustRightInd/>
        <w:spacing w:after="160" w:line="259" w:lineRule="auto"/>
        <w:jc w:val="both"/>
        <w:textAlignment w:val="auto"/>
        <w:rPr>
          <w:b/>
          <w:bCs/>
        </w:rPr>
      </w:pPr>
      <w:r>
        <w:rPr>
          <w:b/>
          <w:bCs/>
        </w:rPr>
        <w:t>Support IAB-DU reporting multiplexing capability across its served cells (DU cell m TX, DU cell n RX).</w:t>
      </w:r>
    </w:p>
    <w:p w14:paraId="061AF101" w14:textId="77777777" w:rsidR="00175120" w:rsidRDefault="00175120" w:rsidP="00175120"/>
    <w:p w14:paraId="529C6963" w14:textId="77777777" w:rsidR="00175120" w:rsidRDefault="00175120" w:rsidP="00175120">
      <w:r>
        <w:t>Next, we discuss i</w:t>
      </w:r>
      <w:r w:rsidRPr="00B76083">
        <w:t>ntra-IAB-node (self-interference) scenarios (Interference between a DU and MT of an IAB-node)</w:t>
      </w:r>
      <w:r>
        <w:t>.</w:t>
      </w:r>
    </w:p>
    <w:p w14:paraId="5583D361" w14:textId="77777777" w:rsidR="00175120" w:rsidRDefault="00175120" w:rsidP="00175120">
      <w:pPr>
        <w:pStyle w:val="Heading3"/>
      </w:pPr>
      <w:r>
        <w:t>Full-duplex and self-interference (SI) management</w:t>
      </w:r>
    </w:p>
    <w:p w14:paraId="3D5116F7" w14:textId="77777777" w:rsidR="00175120" w:rsidRDefault="00175120" w:rsidP="00175120">
      <w:pPr>
        <w:jc w:val="both"/>
      </w:pPr>
      <w:r>
        <w:rPr>
          <w:rFonts w:eastAsiaTheme="minorEastAsia"/>
          <w:noProof/>
        </w:rPr>
        <w:drawing>
          <wp:anchor distT="0" distB="0" distL="114300" distR="114300" simplePos="0" relativeHeight="251659264" behindDoc="0" locked="0" layoutInCell="1" allowOverlap="1" wp14:anchorId="68F717E6" wp14:editId="6A5CC0B2">
            <wp:simplePos x="0" y="0"/>
            <wp:positionH relativeFrom="column">
              <wp:posOffset>4411980</wp:posOffset>
            </wp:positionH>
            <wp:positionV relativeFrom="paragraph">
              <wp:posOffset>359410</wp:posOffset>
            </wp:positionV>
            <wp:extent cx="2082063" cy="2133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2063" cy="2133600"/>
                    </a:xfrm>
                    <a:prstGeom prst="rect">
                      <a:avLst/>
                    </a:prstGeom>
                    <a:noFill/>
                  </pic:spPr>
                </pic:pic>
              </a:graphicData>
            </a:graphic>
          </wp:anchor>
        </w:drawing>
      </w:r>
      <w:r>
        <w:rPr>
          <w:rFonts w:eastAsiaTheme="minorEastAsia"/>
        </w:rPr>
        <w:t>In order to support the enhanced duplexing (full-duplex) modes o</w:t>
      </w:r>
      <w:r w:rsidRPr="00F85AF8">
        <w:rPr>
          <w:rFonts w:eastAsiaTheme="minorEastAsia"/>
        </w:rPr>
        <w:t xml:space="preserve">f </w:t>
      </w:r>
      <w:r w:rsidRPr="00F85AF8">
        <w:t>(MT TX, DU RX) and (MT RX, DU TX)</w:t>
      </w:r>
      <w:r>
        <w:t xml:space="preserve">, we require SI measurement/management procedures. </w:t>
      </w:r>
    </w:p>
    <w:p w14:paraId="6AEADCB1" w14:textId="77777777" w:rsidR="00175120" w:rsidRDefault="00175120" w:rsidP="00175120">
      <w:pPr>
        <w:jc w:val="both"/>
      </w:pPr>
      <w:r>
        <w:t>We first note that there are practically two SI components: (a) local coupling between the TX and RX antennas, and (b) reflection of the transmitted signal, by a remote object, back to the receive antennas.</w:t>
      </w:r>
    </w:p>
    <w:p w14:paraId="4F215FC5" w14:textId="77777777" w:rsidR="00175120" w:rsidRDefault="00175120" w:rsidP="00175120">
      <w:pPr>
        <w:jc w:val="both"/>
      </w:pPr>
      <w:r>
        <w:t xml:space="preserve">We further note that both SI components are beam-dependent. That is, the amount of SI (local SI and remote reflection) varies for different choices of TX and RX beams. Moreover, changes in the environment and the nearby objects would change the effect of remote reflections. Hence, SI and the capability of efficiently operating in these enhanced modes vary with beams and may change over time. </w:t>
      </w:r>
    </w:p>
    <w:p w14:paraId="4E63F0F1" w14:textId="77777777" w:rsidR="00175120" w:rsidRDefault="00175120" w:rsidP="00175120">
      <w:pPr>
        <w:jc w:val="both"/>
        <w:rPr>
          <w:b/>
          <w:bCs/>
        </w:rPr>
      </w:pPr>
      <w:r w:rsidRPr="00B41255">
        <w:rPr>
          <w:b/>
          <w:bCs/>
          <w:u w:val="single"/>
        </w:rPr>
        <w:t xml:space="preserve">Observation </w:t>
      </w:r>
      <w:r>
        <w:rPr>
          <w:b/>
          <w:bCs/>
          <w:u w:val="single"/>
        </w:rPr>
        <w:t>3.6</w:t>
      </w:r>
      <w:r w:rsidRPr="00B41255">
        <w:rPr>
          <w:b/>
          <w:bCs/>
          <w:u w:val="single"/>
        </w:rPr>
        <w:t>:</w:t>
      </w:r>
      <w:r w:rsidRPr="00F41176">
        <w:rPr>
          <w:b/>
          <w:bCs/>
        </w:rPr>
        <w:t xml:space="preserve"> </w:t>
      </w:r>
    </w:p>
    <w:p w14:paraId="6B1F285D" w14:textId="77777777" w:rsidR="00175120" w:rsidRPr="00187B78" w:rsidRDefault="00175120" w:rsidP="00175120">
      <w:pPr>
        <w:jc w:val="both"/>
        <w:rPr>
          <w:b/>
          <w:bCs/>
        </w:rPr>
      </w:pPr>
      <w:r>
        <w:rPr>
          <w:b/>
          <w:bCs/>
        </w:rPr>
        <w:t>T</w:t>
      </w:r>
      <w:r w:rsidRPr="00187B78">
        <w:rPr>
          <w:b/>
          <w:bCs/>
        </w:rPr>
        <w:t>here are two self-interference components:</w:t>
      </w:r>
    </w:p>
    <w:p w14:paraId="255C5752" w14:textId="77777777" w:rsidR="00175120" w:rsidRPr="00187B78" w:rsidRDefault="00175120" w:rsidP="00175120">
      <w:pPr>
        <w:numPr>
          <w:ilvl w:val="0"/>
          <w:numId w:val="5"/>
        </w:numPr>
        <w:overflowPunct/>
        <w:autoSpaceDE/>
        <w:autoSpaceDN/>
        <w:adjustRightInd/>
        <w:spacing w:after="160" w:line="259" w:lineRule="auto"/>
        <w:jc w:val="both"/>
        <w:textAlignment w:val="auto"/>
        <w:rPr>
          <w:b/>
          <w:bCs/>
        </w:rPr>
      </w:pPr>
      <w:r w:rsidRPr="00187B78">
        <w:rPr>
          <w:b/>
          <w:bCs/>
        </w:rPr>
        <w:lastRenderedPageBreak/>
        <w:t xml:space="preserve">Local coupling between the transmit and receive antennas </w:t>
      </w:r>
    </w:p>
    <w:p w14:paraId="628EAF0B" w14:textId="77777777" w:rsidR="00175120" w:rsidRDefault="00175120" w:rsidP="00175120">
      <w:pPr>
        <w:numPr>
          <w:ilvl w:val="0"/>
          <w:numId w:val="5"/>
        </w:numPr>
        <w:overflowPunct/>
        <w:autoSpaceDE/>
        <w:autoSpaceDN/>
        <w:adjustRightInd/>
        <w:spacing w:after="160" w:line="259" w:lineRule="auto"/>
        <w:jc w:val="both"/>
        <w:textAlignment w:val="auto"/>
      </w:pPr>
      <w:r w:rsidRPr="00187B78">
        <w:rPr>
          <w:b/>
          <w:bCs/>
        </w:rPr>
        <w:t>Reflection of the transmitted signal, by a remote object, back to the receive antennas</w:t>
      </w:r>
      <w:r>
        <w:t>.</w:t>
      </w:r>
    </w:p>
    <w:p w14:paraId="16DE1310" w14:textId="77777777" w:rsidR="00175120" w:rsidRPr="002F0848" w:rsidRDefault="00175120" w:rsidP="00175120">
      <w:pPr>
        <w:overflowPunct/>
        <w:autoSpaceDE/>
        <w:autoSpaceDN/>
        <w:adjustRightInd/>
        <w:spacing w:after="160" w:line="259" w:lineRule="auto"/>
        <w:jc w:val="both"/>
        <w:textAlignment w:val="auto"/>
      </w:pPr>
      <w:r w:rsidRPr="002F0848">
        <w:rPr>
          <w:b/>
          <w:bCs/>
        </w:rPr>
        <w:t>The amount of self-interference (and hence the efficiency of full-duplex capability) depends on TX and RX beamforming configurations and may change over time (due to change in the reflections).</w:t>
      </w:r>
    </w:p>
    <w:p w14:paraId="608E0D06" w14:textId="77777777" w:rsidR="00175120" w:rsidRDefault="00175120" w:rsidP="00175120"/>
    <w:p w14:paraId="44969292" w14:textId="77777777" w:rsidR="00175120" w:rsidRDefault="00175120" w:rsidP="00175120">
      <w:pPr>
        <w:jc w:val="both"/>
      </w:pPr>
      <w:r>
        <w:t xml:space="preserve">Since the effect (amount) of SI may change over time, an IAB-node needs to periodically measure its SI to determine the channel quality when operating in full-duplex mode. </w:t>
      </w:r>
    </w:p>
    <w:p w14:paraId="5F81BA63" w14:textId="77777777" w:rsidR="00175120" w:rsidRDefault="00175120" w:rsidP="00175120">
      <w:pPr>
        <w:jc w:val="both"/>
      </w:pPr>
      <w:r>
        <w:t xml:space="preserve">However, SI measurements can be performed </w:t>
      </w:r>
      <w:r w:rsidRPr="00FA2367">
        <w:rPr>
          <w:u w:val="single"/>
        </w:rPr>
        <w:t>autonomously</w:t>
      </w:r>
      <w:r>
        <w:t xml:space="preserve"> by an IAB-node. For example, while the IAB-node DU transmits DL signals (e.g. SSBs/CSI-RS), it can measure SI on the panels/beams associated with the IAB-node MT’s communications.  </w:t>
      </w:r>
    </w:p>
    <w:p w14:paraId="0ED84F85" w14:textId="77777777" w:rsidR="00175120" w:rsidRDefault="00175120" w:rsidP="00175120">
      <w:pPr>
        <w:jc w:val="both"/>
        <w:rPr>
          <w:b/>
          <w:bCs/>
        </w:rPr>
      </w:pPr>
      <w:r w:rsidRPr="00187B78">
        <w:rPr>
          <w:b/>
          <w:bCs/>
          <w:u w:val="single"/>
        </w:rPr>
        <w:t xml:space="preserve">Observation </w:t>
      </w:r>
      <w:r>
        <w:rPr>
          <w:b/>
          <w:bCs/>
          <w:u w:val="single"/>
        </w:rPr>
        <w:t>3.7</w:t>
      </w:r>
      <w:r w:rsidRPr="00187B78">
        <w:rPr>
          <w:b/>
          <w:bCs/>
          <w:u w:val="single"/>
        </w:rPr>
        <w:t>:</w:t>
      </w:r>
      <w:r w:rsidRPr="00187B78">
        <w:rPr>
          <w:b/>
          <w:bCs/>
        </w:rPr>
        <w:t xml:space="preserve"> </w:t>
      </w:r>
    </w:p>
    <w:p w14:paraId="1B6F55D8" w14:textId="77777777" w:rsidR="00175120" w:rsidRDefault="00175120" w:rsidP="00175120">
      <w:pPr>
        <w:jc w:val="both"/>
        <w:rPr>
          <w:b/>
          <w:bCs/>
        </w:rPr>
      </w:pPr>
      <w:r>
        <w:rPr>
          <w:b/>
          <w:bCs/>
        </w:rPr>
        <w:t xml:space="preserve">To determine how efficiently an IAB-node can operate in the full-duplex mode, it needs to periodically perform SI measurements. </w:t>
      </w:r>
    </w:p>
    <w:p w14:paraId="193CFF9C" w14:textId="77777777" w:rsidR="00175120" w:rsidRDefault="00175120" w:rsidP="00175120">
      <w:pPr>
        <w:jc w:val="both"/>
        <w:rPr>
          <w:b/>
          <w:bCs/>
        </w:rPr>
      </w:pPr>
      <w:r>
        <w:rPr>
          <w:b/>
          <w:bCs/>
          <w:u w:val="single"/>
        </w:rPr>
        <w:t>Proposal</w:t>
      </w:r>
      <w:r w:rsidRPr="00187B78">
        <w:rPr>
          <w:b/>
          <w:bCs/>
          <w:u w:val="single"/>
        </w:rPr>
        <w:t xml:space="preserve"> </w:t>
      </w:r>
      <w:r>
        <w:rPr>
          <w:b/>
          <w:bCs/>
          <w:u w:val="single"/>
        </w:rPr>
        <w:t>3.5</w:t>
      </w:r>
      <w:r w:rsidRPr="00187B78">
        <w:rPr>
          <w:b/>
          <w:bCs/>
          <w:u w:val="single"/>
        </w:rPr>
        <w:t>:</w:t>
      </w:r>
    </w:p>
    <w:p w14:paraId="5426C9BB" w14:textId="77777777" w:rsidR="00175120" w:rsidRDefault="00175120" w:rsidP="00175120">
      <w:pPr>
        <w:jc w:val="both"/>
        <w:rPr>
          <w:b/>
          <w:bCs/>
        </w:rPr>
      </w:pPr>
      <w:r>
        <w:rPr>
          <w:b/>
          <w:bCs/>
        </w:rPr>
        <w:t>SI measurement can be performed autonomously by an IAB-node.</w:t>
      </w:r>
    </w:p>
    <w:p w14:paraId="6F15DE67" w14:textId="77777777" w:rsidR="00175120" w:rsidRDefault="00175120" w:rsidP="00175120">
      <w:pPr>
        <w:jc w:val="both"/>
      </w:pPr>
    </w:p>
    <w:p w14:paraId="3501FC98" w14:textId="77777777" w:rsidR="00175120" w:rsidRDefault="00175120" w:rsidP="00175120">
      <w:pPr>
        <w:pStyle w:val="Heading3"/>
      </w:pPr>
      <w:r>
        <w:t>Efficient operation of enhanced duplexing modes</w:t>
      </w:r>
    </w:p>
    <w:p w14:paraId="284431B5" w14:textId="77777777" w:rsidR="00175120" w:rsidRDefault="00175120" w:rsidP="00175120">
      <w:pPr>
        <w:jc w:val="both"/>
      </w:pPr>
      <w:r>
        <w:t xml:space="preserve">As discussed in our companion paper [3], the efficiency of operating in any of the enhanced multiplexing cases (including full-duplex modes) depends on the TX or RX beams and may change over time. Therefore, the network (CU and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(including full-duplex). </w:t>
      </w:r>
    </w:p>
    <w:p w14:paraId="5B33A21A" w14:textId="77777777" w:rsidR="00175120" w:rsidRPr="00E070CC" w:rsidRDefault="00175120" w:rsidP="00175120">
      <w:pPr>
        <w:jc w:val="both"/>
      </w:pPr>
      <w:r>
        <w:t>For example, and in the context of SI management, the IAB-node should notify the network about the result of its SI measurements. However, instead of supporting detailed SI measurement report, we proposed [3] to simply extend the enhanced multiplexing capability indication as in Proposal 3</w:t>
      </w:r>
      <w:r w:rsidRPr="005A218C">
        <w:t>.</w:t>
      </w:r>
      <w:r>
        <w:t>6</w:t>
      </w:r>
      <w:r w:rsidRPr="005A218C">
        <w:t>.</w:t>
      </w:r>
      <w:r>
        <w:t xml:space="preserve"> </w:t>
      </w:r>
    </w:p>
    <w:p w14:paraId="66DEA5DF" w14:textId="77777777" w:rsidR="00175120" w:rsidRDefault="00175120" w:rsidP="00175120">
      <w:pPr>
        <w:jc w:val="both"/>
        <w:rPr>
          <w:b/>
          <w:bCs/>
        </w:rPr>
      </w:pPr>
    </w:p>
    <w:p w14:paraId="068E4178" w14:textId="77777777" w:rsidR="00175120" w:rsidRDefault="00175120" w:rsidP="00175120">
      <w:pPr>
        <w:jc w:val="both"/>
        <w:rPr>
          <w:b/>
          <w:bCs/>
        </w:rPr>
      </w:pPr>
      <w:r w:rsidRPr="00187B78">
        <w:rPr>
          <w:b/>
          <w:bCs/>
          <w:u w:val="single"/>
        </w:rPr>
        <w:t xml:space="preserve">Observation </w:t>
      </w:r>
      <w:r>
        <w:rPr>
          <w:b/>
          <w:bCs/>
          <w:u w:val="single"/>
        </w:rPr>
        <w:t>3.8</w:t>
      </w:r>
      <w:r w:rsidRPr="00187B78">
        <w:rPr>
          <w:b/>
          <w:bCs/>
          <w:u w:val="single"/>
        </w:rPr>
        <w:t>:</w:t>
      </w:r>
      <w:r w:rsidRPr="00187B78">
        <w:rPr>
          <w:b/>
          <w:bCs/>
        </w:rPr>
        <w:t xml:space="preserve"> </w:t>
      </w:r>
    </w:p>
    <w:p w14:paraId="1A7249D3" w14:textId="77777777" w:rsidR="00175120" w:rsidRDefault="00175120" w:rsidP="00175120">
      <w:pPr>
        <w:pStyle w:val="ListParagraph"/>
        <w:numPr>
          <w:ilvl w:val="0"/>
          <w:numId w:val="15"/>
        </w:numPr>
        <w:jc w:val="both"/>
        <w:rPr>
          <w:b/>
          <w:bCs/>
        </w:rPr>
      </w:pPr>
      <w:r w:rsidRPr="009A7891">
        <w:rPr>
          <w:b/>
          <w:bCs/>
        </w:rPr>
        <w:t>The efficiency of operating in enhanced multiplexing modes depends on the communication configuration (e.g. TX/RX beamforming) and may change over time.</w:t>
      </w:r>
    </w:p>
    <w:p w14:paraId="2D86E418" w14:textId="77777777" w:rsidR="00175120" w:rsidRPr="009A7891" w:rsidRDefault="00175120" w:rsidP="00175120">
      <w:pPr>
        <w:pStyle w:val="ListParagraph"/>
        <w:numPr>
          <w:ilvl w:val="0"/>
          <w:numId w:val="15"/>
        </w:numPr>
        <w:jc w:val="both"/>
        <w:rPr>
          <w:b/>
          <w:bCs/>
        </w:rPr>
      </w:pPr>
      <w:r w:rsidRPr="009A7891">
        <w:rPr>
          <w:b/>
          <w:bCs/>
        </w:rPr>
        <w:t>An IAB-node, at times and for given configurations, may not be able to effectively operate in an enhanced multiplexing mode whose support has been previously indicated as a capability to the network</w:t>
      </w:r>
    </w:p>
    <w:p w14:paraId="2AE9284A" w14:textId="77777777" w:rsidR="00175120" w:rsidRDefault="00175120" w:rsidP="00175120">
      <w:pPr>
        <w:jc w:val="both"/>
        <w:rPr>
          <w:b/>
          <w:bCs/>
        </w:rPr>
      </w:pPr>
      <w:r>
        <w:rPr>
          <w:b/>
          <w:bCs/>
          <w:u w:val="single"/>
        </w:rPr>
        <w:t>Proposal</w:t>
      </w:r>
      <w:r w:rsidRPr="00B41255">
        <w:rPr>
          <w:b/>
          <w:bCs/>
          <w:u w:val="single"/>
        </w:rPr>
        <w:t xml:space="preserve"> </w:t>
      </w:r>
      <w:r>
        <w:rPr>
          <w:b/>
          <w:bCs/>
          <w:u w:val="single"/>
        </w:rPr>
        <w:t>3.6</w:t>
      </w:r>
      <w:r w:rsidRPr="00B41255">
        <w:rPr>
          <w:b/>
          <w:bCs/>
          <w:u w:val="single"/>
        </w:rPr>
        <w:t>:</w:t>
      </w:r>
      <w:r w:rsidRPr="00F41176">
        <w:rPr>
          <w:b/>
          <w:bCs/>
        </w:rPr>
        <w:t xml:space="preserve"> </w:t>
      </w:r>
    </w:p>
    <w:p w14:paraId="4DBB61DE" w14:textId="77777777" w:rsidR="00175120" w:rsidRPr="007507FF" w:rsidRDefault="00175120" w:rsidP="00175120">
      <w:pPr>
        <w:pStyle w:val="ListParagraph"/>
        <w:numPr>
          <w:ilvl w:val="0"/>
          <w:numId w:val="16"/>
        </w:numPr>
        <w:spacing w:after="0"/>
        <w:jc w:val="both"/>
        <w:rPr>
          <w:b/>
          <w:bCs/>
          <w:lang w:val="en-US"/>
        </w:rPr>
      </w:pPr>
      <w:r w:rsidRPr="007507FF">
        <w:rPr>
          <w:b/>
          <w:bCs/>
        </w:rPr>
        <w:t xml:space="preserve">Support local refinement indication </w:t>
      </w:r>
      <w:r>
        <w:rPr>
          <w:b/>
          <w:bCs/>
        </w:rPr>
        <w:t xml:space="preserve">by IAB-node </w:t>
      </w:r>
      <w:r w:rsidRPr="007507FF">
        <w:rPr>
          <w:b/>
          <w:bCs/>
        </w:rPr>
        <w:t>to the parent-node (e.g. via MAC-CE) for simultaneous operation:</w:t>
      </w:r>
    </w:p>
    <w:p w14:paraId="28A66A53" w14:textId="77777777" w:rsidR="00175120" w:rsidRDefault="00175120" w:rsidP="00175120">
      <w:pPr>
        <w:pStyle w:val="ListParagraph"/>
        <w:numPr>
          <w:ilvl w:val="1"/>
          <w:numId w:val="16"/>
        </w:numPr>
        <w:spacing w:after="0"/>
        <w:jc w:val="both"/>
        <w:rPr>
          <w:b/>
          <w:bCs/>
        </w:rPr>
      </w:pPr>
      <w:r w:rsidRPr="007507FF">
        <w:rPr>
          <w:b/>
          <w:bCs/>
        </w:rPr>
        <w:t>to dynamically indicate whether the semi-static capability for enhanced multiplexing is applicable at the time.</w:t>
      </w:r>
    </w:p>
    <w:p w14:paraId="1349C27B" w14:textId="77777777" w:rsidR="00175120" w:rsidRPr="007507FF" w:rsidRDefault="00175120" w:rsidP="00175120">
      <w:pPr>
        <w:pStyle w:val="ListParagraph"/>
        <w:numPr>
          <w:ilvl w:val="1"/>
          <w:numId w:val="16"/>
        </w:numPr>
        <w:spacing w:after="0"/>
        <w:jc w:val="both"/>
        <w:rPr>
          <w:b/>
          <w:bCs/>
        </w:rPr>
      </w:pPr>
      <w:r w:rsidRPr="007507FF">
        <w:rPr>
          <w:b/>
          <w:bCs/>
        </w:rPr>
        <w:t>to specify conditions required to realize the enhanced multiplexing capability, e.g. timing mode and/or TX power constraints.</w:t>
      </w:r>
    </w:p>
    <w:p w14:paraId="0FB6915F" w14:textId="77777777" w:rsidR="00175120" w:rsidRPr="007507FF" w:rsidRDefault="00175120" w:rsidP="00175120">
      <w:pPr>
        <w:numPr>
          <w:ilvl w:val="0"/>
          <w:numId w:val="16"/>
        </w:numPr>
        <w:jc w:val="both"/>
        <w:rPr>
          <w:b/>
          <w:bCs/>
        </w:rPr>
      </w:pPr>
      <w:r w:rsidRPr="007507FF">
        <w:rPr>
          <w:b/>
          <w:bCs/>
        </w:rPr>
        <w:t>Support indicating the configuration(s) required to enable an enhanced multiplexing capability by IAB-node DU to donor CU, e.g. for which beams (SSBs) or which served child-nodes, the IAB-node can operate in the enhanced multiplexing mode.</w:t>
      </w:r>
    </w:p>
    <w:p w14:paraId="69F3B530" w14:textId="77777777" w:rsidR="00175120" w:rsidRDefault="00175120" w:rsidP="00175120">
      <w:pPr>
        <w:jc w:val="both"/>
      </w:pPr>
    </w:p>
    <w:p w14:paraId="457ADDCF" w14:textId="77777777" w:rsidR="00175120" w:rsidRDefault="00175120" w:rsidP="00175120">
      <w:pPr>
        <w:pStyle w:val="Heading3"/>
      </w:pPr>
      <w:r>
        <w:lastRenderedPageBreak/>
        <w:t>Interference mitigation</w:t>
      </w:r>
    </w:p>
    <w:p w14:paraId="159C3335" w14:textId="77777777" w:rsidR="00175120" w:rsidRDefault="00175120" w:rsidP="00175120">
      <w:pPr>
        <w:jc w:val="both"/>
      </w:pPr>
      <w:r>
        <w:t xml:space="preserve">So far, we have discussed how relevant </w:t>
      </w:r>
      <w:r w:rsidRPr="00EE227E">
        <w:rPr>
          <w:i/>
          <w:iCs/>
        </w:rPr>
        <w:t>interference measurements</w:t>
      </w:r>
      <w:r>
        <w:t xml:space="preserve"> can be performed and possibly reported to the network. The main part of an interference management framework is indeed </w:t>
      </w:r>
      <w:r w:rsidRPr="00EE227E">
        <w:rPr>
          <w:i/>
          <w:iCs/>
        </w:rPr>
        <w:t>interference mitigation</w:t>
      </w:r>
      <w:r>
        <w:t>. That is, if it is determined that there is an interference issue, then the network should attempt to find solutions to mitigate this issue and guarantee efficient and successful operation.</w:t>
      </w:r>
    </w:p>
    <w:p w14:paraId="24652609" w14:textId="77777777" w:rsidR="00175120" w:rsidRDefault="00175120" w:rsidP="00175120">
      <w:r>
        <w:t>RAN1-103e achieved the following agreement in the context of interference mitigation:</w:t>
      </w:r>
    </w:p>
    <w:tbl>
      <w:tblPr>
        <w:tblStyle w:val="TableGrid"/>
        <w:tblW w:w="0" w:type="auto"/>
        <w:tblLook w:val="04A0" w:firstRow="1" w:lastRow="0" w:firstColumn="1" w:lastColumn="0" w:noHBand="0" w:noVBand="1"/>
      </w:tblPr>
      <w:tblGrid>
        <w:gridCol w:w="9629"/>
      </w:tblGrid>
      <w:tr w:rsidR="00175120" w14:paraId="1F3D11B7" w14:textId="77777777" w:rsidTr="00E64C2A">
        <w:tc>
          <w:tcPr>
            <w:tcW w:w="9629" w:type="dxa"/>
          </w:tcPr>
          <w:p w14:paraId="5771006F" w14:textId="77777777" w:rsidR="00175120" w:rsidRPr="00421E24" w:rsidRDefault="00175120" w:rsidP="00175120">
            <w:pPr>
              <w:pStyle w:val="ListParagraph"/>
              <w:numPr>
                <w:ilvl w:val="0"/>
                <w:numId w:val="14"/>
              </w:numPr>
              <w:rPr>
                <w:lang w:val="en-US"/>
              </w:rPr>
            </w:pPr>
            <w:r w:rsidRPr="00421E24">
              <w:rPr>
                <w:lang w:val="en-US"/>
              </w:rPr>
              <w:t>Consider resource and beam coordination techniques to mitigate/avoid interference, including (not an exhaustive list):</w:t>
            </w:r>
          </w:p>
          <w:p w14:paraId="252A8202" w14:textId="77777777" w:rsidR="00175120" w:rsidRPr="00421E24" w:rsidRDefault="00175120" w:rsidP="00175120">
            <w:pPr>
              <w:pStyle w:val="ListParagraph"/>
              <w:numPr>
                <w:ilvl w:val="1"/>
                <w:numId w:val="14"/>
              </w:numPr>
              <w:rPr>
                <w:lang w:val="en-US"/>
              </w:rPr>
            </w:pPr>
            <w:r w:rsidRPr="00421E24">
              <w:t xml:space="preserve">FFS: whether or not to support IAB‐node (MT) transmissions in DL access slots </w:t>
            </w:r>
          </w:p>
          <w:p w14:paraId="6ACA5ED7" w14:textId="77777777" w:rsidR="00175120" w:rsidRPr="00421E24" w:rsidRDefault="00175120" w:rsidP="00175120">
            <w:pPr>
              <w:pStyle w:val="ListParagraph"/>
              <w:numPr>
                <w:ilvl w:val="2"/>
                <w:numId w:val="14"/>
              </w:numPr>
              <w:rPr>
                <w:lang w:val="en-US"/>
              </w:rPr>
            </w:pPr>
            <w:r w:rsidRPr="00421E24">
              <w:t>FFS: if this has RAN1 impact or it can be handled by implementation.</w:t>
            </w:r>
          </w:p>
          <w:p w14:paraId="70A54F52" w14:textId="77777777" w:rsidR="00175120" w:rsidRPr="00421E24" w:rsidRDefault="00175120" w:rsidP="00175120">
            <w:pPr>
              <w:pStyle w:val="ListParagraph"/>
              <w:numPr>
                <w:ilvl w:val="2"/>
                <w:numId w:val="14"/>
              </w:numPr>
              <w:rPr>
                <w:lang w:val="en-US"/>
              </w:rPr>
            </w:pPr>
            <w:r w:rsidRPr="00421E24">
              <w:t>FFS: network coordination impact</w:t>
            </w:r>
          </w:p>
          <w:p w14:paraId="10E0E850" w14:textId="77777777" w:rsidR="00175120" w:rsidRPr="00421E24" w:rsidRDefault="00175120" w:rsidP="00175120">
            <w:pPr>
              <w:pStyle w:val="ListParagraph"/>
              <w:numPr>
                <w:ilvl w:val="1"/>
                <w:numId w:val="14"/>
              </w:numPr>
              <w:rPr>
                <w:lang w:val="en-US"/>
              </w:rPr>
            </w:pPr>
            <w:r w:rsidRPr="00421E24">
              <w:t>FFS: whether Rel-16 resource management framework is sufficient</w:t>
            </w:r>
            <w:r>
              <w:t>.</w:t>
            </w:r>
          </w:p>
        </w:tc>
      </w:tr>
    </w:tbl>
    <w:p w14:paraId="04DD6C5B" w14:textId="77777777" w:rsidR="00175120" w:rsidRDefault="00175120" w:rsidP="00175120">
      <w:pPr>
        <w:jc w:val="both"/>
      </w:pPr>
    </w:p>
    <w:p w14:paraId="3D928E7D" w14:textId="2E9CFB8D" w:rsidR="00175120" w:rsidRDefault="00175120" w:rsidP="00175120">
      <w:pPr>
        <w:jc w:val="both"/>
      </w:pPr>
      <w:r>
        <w:t>In [3], we proposed to extend the Rel-16 IAB (TDM-based) resource management framework to frequency-</w:t>
      </w:r>
      <w:r w:rsidR="0099624F">
        <w:t>domain</w:t>
      </w:r>
      <w:r>
        <w:t xml:space="preserve"> and spatial-domain. For more details, please refer to [3].</w:t>
      </w:r>
    </w:p>
    <w:p w14:paraId="3A712A6D" w14:textId="77777777" w:rsidR="00175120" w:rsidRDefault="00175120" w:rsidP="00175120">
      <w:pPr>
        <w:overflowPunct/>
        <w:autoSpaceDE/>
        <w:autoSpaceDN/>
        <w:adjustRightInd/>
        <w:textAlignment w:val="auto"/>
        <w:rPr>
          <w:b/>
          <w:bCs/>
          <w:u w:val="single"/>
        </w:rPr>
      </w:pPr>
    </w:p>
    <w:p w14:paraId="22756959" w14:textId="77777777" w:rsidR="00175120" w:rsidRPr="00D83B28" w:rsidRDefault="00175120" w:rsidP="00175120">
      <w:pPr>
        <w:overflowPunct/>
        <w:autoSpaceDE/>
        <w:autoSpaceDN/>
        <w:adjustRightInd/>
        <w:textAlignment w:val="auto"/>
        <w:rPr>
          <w:b/>
          <w:bCs/>
          <w:u w:val="single"/>
        </w:rPr>
      </w:pPr>
      <w:r w:rsidRPr="00D83B28">
        <w:rPr>
          <w:b/>
          <w:bCs/>
          <w:u w:val="single"/>
        </w:rPr>
        <w:t>Proposal 3.</w:t>
      </w:r>
      <w:r>
        <w:rPr>
          <w:b/>
          <w:bCs/>
          <w:u w:val="single"/>
        </w:rPr>
        <w:t>7</w:t>
      </w:r>
      <w:r w:rsidRPr="00D83B28">
        <w:rPr>
          <w:b/>
          <w:bCs/>
          <w:u w:val="single"/>
        </w:rPr>
        <w:t>:</w:t>
      </w:r>
    </w:p>
    <w:p w14:paraId="0D573554" w14:textId="7A9BBE34" w:rsidR="00175120" w:rsidRPr="00D83B28" w:rsidRDefault="00175120" w:rsidP="00175120">
      <w:pPr>
        <w:overflowPunct/>
        <w:autoSpaceDE/>
        <w:autoSpaceDN/>
        <w:adjustRightInd/>
        <w:spacing w:after="0"/>
        <w:textAlignment w:val="auto"/>
        <w:rPr>
          <w:b/>
          <w:bCs/>
          <w:lang w:val="en-US" w:eastAsia="zh-CN"/>
        </w:rPr>
      </w:pPr>
      <w:r w:rsidRPr="00D83B28">
        <w:rPr>
          <w:b/>
          <w:bCs/>
          <w:lang w:val="en-US" w:eastAsia="zh-CN"/>
        </w:rPr>
        <w:t>Extend Rel</w:t>
      </w:r>
      <w:r w:rsidR="00414435">
        <w:rPr>
          <w:b/>
          <w:bCs/>
          <w:lang w:val="en-US" w:eastAsia="zh-CN"/>
        </w:rPr>
        <w:t>-</w:t>
      </w:r>
      <w:r w:rsidRPr="00D83B28">
        <w:rPr>
          <w:b/>
          <w:bCs/>
          <w:lang w:val="en-US" w:eastAsia="zh-CN"/>
        </w:rPr>
        <w:t xml:space="preserve">16 IAB resource management framework from per DU cell to per “DU RB set”, where a “DU RB set” can be configured by CU as a set of consecutive RBs within a DU cell. </w:t>
      </w:r>
    </w:p>
    <w:p w14:paraId="65A5A19E" w14:textId="77777777" w:rsidR="00175120" w:rsidRPr="00D83B28" w:rsidRDefault="00175120" w:rsidP="00175120">
      <w:pPr>
        <w:numPr>
          <w:ilvl w:val="0"/>
          <w:numId w:val="17"/>
        </w:numPr>
        <w:overflowPunct/>
        <w:autoSpaceDE/>
        <w:autoSpaceDN/>
        <w:adjustRightInd/>
        <w:spacing w:after="0"/>
        <w:contextualSpacing/>
        <w:textAlignment w:val="auto"/>
        <w:rPr>
          <w:b/>
          <w:bCs/>
          <w:lang w:val="en-US" w:eastAsia="zh-CN"/>
        </w:rPr>
      </w:pPr>
      <w:r w:rsidRPr="00D83B28">
        <w:rPr>
          <w:b/>
          <w:bCs/>
          <w:lang w:val="en-US" w:eastAsia="zh-CN"/>
        </w:rPr>
        <w:t>The extension can be done for semi-static IAB-DU resource configuration and/or DCI2_5.</w:t>
      </w:r>
    </w:p>
    <w:p w14:paraId="1E361CE4" w14:textId="77777777" w:rsidR="00175120" w:rsidRDefault="00175120" w:rsidP="00175120">
      <w:pPr>
        <w:rPr>
          <w:b/>
          <w:bCs/>
          <w:u w:val="single"/>
          <w:lang w:val="en-US"/>
        </w:rPr>
      </w:pPr>
    </w:p>
    <w:p w14:paraId="1CFF1F49" w14:textId="77777777" w:rsidR="00175120" w:rsidRDefault="00175120" w:rsidP="00175120">
      <w:pPr>
        <w:rPr>
          <w:lang w:val="en-US"/>
        </w:rPr>
      </w:pPr>
      <w:r w:rsidRPr="006B6628">
        <w:rPr>
          <w:b/>
          <w:bCs/>
          <w:u w:val="single"/>
          <w:lang w:val="en-US"/>
        </w:rPr>
        <w:t xml:space="preserve">Proposal </w:t>
      </w:r>
      <w:r>
        <w:rPr>
          <w:b/>
          <w:bCs/>
          <w:u w:val="single"/>
          <w:lang w:val="en-US"/>
        </w:rPr>
        <w:t>3.8</w:t>
      </w:r>
      <w:r w:rsidRPr="006B6628">
        <w:rPr>
          <w:b/>
          <w:bCs/>
          <w:u w:val="single"/>
          <w:lang w:val="en-US"/>
        </w:rPr>
        <w:t>:</w:t>
      </w:r>
      <w:r w:rsidRPr="006B6628">
        <w:rPr>
          <w:lang w:val="en-US"/>
        </w:rPr>
        <w:t xml:space="preserve"> </w:t>
      </w:r>
    </w:p>
    <w:p w14:paraId="025FFFCD" w14:textId="77777777" w:rsidR="00175120" w:rsidRDefault="00175120" w:rsidP="00175120">
      <w:pPr>
        <w:spacing w:after="0"/>
        <w:rPr>
          <w:b/>
          <w:bCs/>
          <w:lang w:val="en-US"/>
        </w:rPr>
      </w:pPr>
      <w:r w:rsidRPr="006B6628">
        <w:rPr>
          <w:b/>
          <w:bCs/>
          <w:lang w:val="en-US"/>
        </w:rPr>
        <w:t xml:space="preserve">Extend the </w:t>
      </w:r>
      <w:r>
        <w:rPr>
          <w:b/>
          <w:bCs/>
          <w:lang w:val="en-US"/>
        </w:rPr>
        <w:t>R</w:t>
      </w:r>
      <w:r w:rsidRPr="006B6628">
        <w:rPr>
          <w:b/>
          <w:bCs/>
          <w:lang w:val="en-US"/>
        </w:rPr>
        <w:t>el-16 semi-static DU resource management to spatial-domai</w:t>
      </w:r>
      <w:r>
        <w:rPr>
          <w:b/>
          <w:bCs/>
          <w:lang w:val="en-US"/>
        </w:rPr>
        <w:t>n as follows:</w:t>
      </w:r>
    </w:p>
    <w:p w14:paraId="4B6781A3" w14:textId="37E50B81" w:rsidR="00344AEC" w:rsidRPr="00672D73" w:rsidRDefault="00175120" w:rsidP="00175120">
      <w:pPr>
        <w:jc w:val="both"/>
        <w:rPr>
          <w:b/>
          <w:bCs/>
        </w:rPr>
      </w:pPr>
      <w:r w:rsidRPr="00710C02">
        <w:rPr>
          <w:b/>
          <w:bCs/>
        </w:rPr>
        <w:t xml:space="preserve">Support indicating </w:t>
      </w:r>
      <w:r w:rsidRPr="00710C02">
        <w:rPr>
          <w:b/>
          <w:bCs/>
          <w:lang w:val="en-US"/>
        </w:rPr>
        <w:t>DU resource type (Hard/Soft/NA) per beam or per SSB area</w:t>
      </w:r>
      <w:r>
        <w:rPr>
          <w:b/>
          <w:bCs/>
          <w:lang w:val="en-US"/>
        </w:rPr>
        <w:t xml:space="preserve"> or per child node</w:t>
      </w:r>
      <w:r w:rsidRPr="00710C02">
        <w:rPr>
          <w:b/>
          <w:bCs/>
          <w:lang w:val="en-US"/>
        </w:rPr>
        <w:t xml:space="preserve"> by donor CU to an IAB-node DU.</w:t>
      </w:r>
    </w:p>
    <w:p w14:paraId="5CE52B05" w14:textId="2A049CF4" w:rsidR="00344AEC" w:rsidRDefault="00F432A8" w:rsidP="000574A4">
      <w:pPr>
        <w:pStyle w:val="Heading2"/>
      </w:pPr>
      <w:r>
        <w:t xml:space="preserve">4. </w:t>
      </w:r>
      <w:r w:rsidR="000574A4">
        <w:t>Power control</w:t>
      </w:r>
    </w:p>
    <w:p w14:paraId="74AD8E87" w14:textId="4C144774" w:rsidR="004A70EE" w:rsidRDefault="004A70EE" w:rsidP="004A70EE">
      <w:pPr>
        <w:jc w:val="both"/>
      </w:pPr>
      <w:r>
        <w:t>The following was agreed  in RAN1-103e:</w:t>
      </w:r>
    </w:p>
    <w:tbl>
      <w:tblPr>
        <w:tblStyle w:val="TableGrid"/>
        <w:tblW w:w="0" w:type="auto"/>
        <w:tblLook w:val="04A0" w:firstRow="1" w:lastRow="0" w:firstColumn="1" w:lastColumn="0" w:noHBand="0" w:noVBand="1"/>
      </w:tblPr>
      <w:tblGrid>
        <w:gridCol w:w="9629"/>
      </w:tblGrid>
      <w:tr w:rsidR="004A70EE" w14:paraId="1A7DA32D" w14:textId="77777777" w:rsidTr="00E64C2A">
        <w:tc>
          <w:tcPr>
            <w:tcW w:w="9629" w:type="dxa"/>
          </w:tcPr>
          <w:p w14:paraId="4141B6DF" w14:textId="77777777" w:rsidR="004A70EE" w:rsidRPr="00077153" w:rsidRDefault="004A70EE" w:rsidP="00E64C2A">
            <w:pPr>
              <w:jc w:val="both"/>
              <w:rPr>
                <w:lang w:val="en-US"/>
              </w:rPr>
            </w:pPr>
            <w:r w:rsidRPr="006B7FFD">
              <w:t>Further study requirement of enhanced DL and UL Tx power control mechanism considering the following: </w:t>
            </w:r>
          </w:p>
          <w:p w14:paraId="11115D29" w14:textId="77777777" w:rsidR="004A70EE" w:rsidRPr="006B7FFD" w:rsidRDefault="004A70EE" w:rsidP="004A70EE">
            <w:pPr>
              <w:pStyle w:val="ListParagraph"/>
              <w:numPr>
                <w:ilvl w:val="0"/>
                <w:numId w:val="18"/>
              </w:numPr>
              <w:jc w:val="both"/>
              <w:rPr>
                <w:lang w:val="en-US"/>
              </w:rPr>
            </w:pPr>
            <w:r w:rsidRPr="006B7FFD">
              <w:t>DL/UL power control with assistance information from the child node.</w:t>
            </w:r>
          </w:p>
          <w:p w14:paraId="622FA0B2" w14:textId="77777777" w:rsidR="004A70EE" w:rsidRPr="006B7FFD" w:rsidRDefault="004A70EE" w:rsidP="004A70EE">
            <w:pPr>
              <w:pStyle w:val="ListParagraph"/>
              <w:numPr>
                <w:ilvl w:val="0"/>
                <w:numId w:val="18"/>
              </w:numPr>
              <w:jc w:val="both"/>
              <w:rPr>
                <w:lang w:val="en-US"/>
              </w:rPr>
            </w:pPr>
            <w:r w:rsidRPr="006B7FFD">
              <w:t>DL/UL power control with assistance information from the parent node.</w:t>
            </w:r>
          </w:p>
          <w:p w14:paraId="5834AC59" w14:textId="77777777" w:rsidR="004A70EE" w:rsidRPr="006B7FFD" w:rsidRDefault="004A70EE" w:rsidP="004A70EE">
            <w:pPr>
              <w:pStyle w:val="ListParagraph"/>
              <w:numPr>
                <w:ilvl w:val="0"/>
                <w:numId w:val="18"/>
              </w:numPr>
              <w:jc w:val="both"/>
              <w:rPr>
                <w:lang w:val="en-US"/>
              </w:rPr>
            </w:pPr>
            <w:r w:rsidRPr="006B7FFD">
              <w:t>Central (e.g. by CU) power control coordination (e.g. semi-static max DL/UL Tx power limits).</w:t>
            </w:r>
          </w:p>
          <w:p w14:paraId="77C4AA72" w14:textId="77777777" w:rsidR="004A70EE" w:rsidRPr="006B7FFD" w:rsidRDefault="004A70EE" w:rsidP="004A70EE">
            <w:pPr>
              <w:pStyle w:val="ListParagraph"/>
              <w:numPr>
                <w:ilvl w:val="0"/>
                <w:numId w:val="18"/>
              </w:numPr>
              <w:jc w:val="both"/>
              <w:rPr>
                <w:lang w:val="en-US"/>
              </w:rPr>
            </w:pPr>
            <w:r w:rsidRPr="006B7FFD">
              <w:t>Coexistence of different power control mechanisms within an IAB node and in the network.</w:t>
            </w:r>
          </w:p>
          <w:p w14:paraId="4ECBC8A1" w14:textId="77777777" w:rsidR="004A70EE" w:rsidRPr="00077153" w:rsidRDefault="004A70EE" w:rsidP="00E64C2A">
            <w:pPr>
              <w:ind w:left="284"/>
              <w:jc w:val="both"/>
              <w:rPr>
                <w:lang w:val="en-US"/>
              </w:rPr>
            </w:pPr>
            <w:r w:rsidRPr="006B7FFD">
              <w:t>Note. Any power control mechanism should consider the following aspects:</w:t>
            </w:r>
          </w:p>
          <w:p w14:paraId="7ADCB402" w14:textId="77777777" w:rsidR="004A70EE" w:rsidRPr="006B7FFD" w:rsidRDefault="004A70EE" w:rsidP="004A70EE">
            <w:pPr>
              <w:pStyle w:val="ListParagraph"/>
              <w:numPr>
                <w:ilvl w:val="0"/>
                <w:numId w:val="18"/>
              </w:numPr>
              <w:jc w:val="both"/>
              <w:rPr>
                <w:lang w:val="en-US"/>
              </w:rPr>
            </w:pPr>
            <w:r w:rsidRPr="006B7FFD">
              <w:t>Existing base station design principles (e.g. power control and dynamic range capability, etc.) related to transmission power.</w:t>
            </w:r>
          </w:p>
          <w:p w14:paraId="7FF2A3AA" w14:textId="77777777" w:rsidR="004A70EE" w:rsidRPr="00077153" w:rsidRDefault="004A70EE" w:rsidP="004A70EE">
            <w:pPr>
              <w:pStyle w:val="ListParagraph"/>
              <w:numPr>
                <w:ilvl w:val="0"/>
                <w:numId w:val="18"/>
              </w:numPr>
              <w:jc w:val="both"/>
              <w:rPr>
                <w:lang w:val="en-US"/>
              </w:rPr>
            </w:pPr>
            <w:r w:rsidRPr="006B7FFD">
              <w:t>Network constraints in regard to transmitted reference signals with constant power.</w:t>
            </w:r>
          </w:p>
        </w:tc>
      </w:tr>
    </w:tbl>
    <w:p w14:paraId="60E9B6E9" w14:textId="77777777" w:rsidR="004A70EE" w:rsidRDefault="004A70EE" w:rsidP="004A70EE">
      <w:pPr>
        <w:jc w:val="both"/>
      </w:pPr>
    </w:p>
    <w:p w14:paraId="011AE004" w14:textId="77777777" w:rsidR="004A70EE" w:rsidRDefault="004A70EE" w:rsidP="004A70EE">
      <w:pPr>
        <w:jc w:val="both"/>
      </w:pPr>
      <w:r>
        <w:t xml:space="preserve">In this section, we investigate two enhanced multiplexing modes of (MT TX, DU TX) and (MT RX, DU RX) from power control point of view. </w:t>
      </w:r>
    </w:p>
    <w:p w14:paraId="7F10A4FC" w14:textId="77777777" w:rsidR="004A70EE" w:rsidRPr="002F0848" w:rsidRDefault="004A70EE" w:rsidP="004A70EE">
      <w:pPr>
        <w:pStyle w:val="Heading3"/>
      </w:pPr>
      <w:r>
        <w:t>Power control for (MT TX, DU TX)</w:t>
      </w:r>
    </w:p>
    <w:p w14:paraId="3C9645D8" w14:textId="77777777" w:rsidR="004A70EE" w:rsidRDefault="004A70EE" w:rsidP="004A70EE">
      <w:r>
        <w:t>There are two potential issues in case of (MT TX, DU TX): (i) TX power imbalance, and (ii) TX power sharing.</w:t>
      </w:r>
    </w:p>
    <w:p w14:paraId="6C023CDE" w14:textId="77777777" w:rsidR="004A70EE" w:rsidRDefault="004A70EE" w:rsidP="004A70EE">
      <w:r>
        <w:lastRenderedPageBreak/>
        <w:t>We note that these potential issues may arise ONLY if MT and DU share the same PAs and antennas to concurrently send their UL and DL signals respectively. This would further mean they send the two signals in the same beam direction (with the same analog beamforming configuration). Such a scenario is not expected to typically happen – specially in FR2.</w:t>
      </w:r>
    </w:p>
    <w:p w14:paraId="2CE602D7" w14:textId="77777777" w:rsidR="004A70EE" w:rsidRDefault="004A70EE" w:rsidP="004A70EE">
      <w:r>
        <w:t xml:space="preserve">However, in the [non-typical] case that MT and DU share the same PAs, the two UL and DL signals have the same constraints in terms of the max TX power and the dynamic range. Therefore, we may not expect a huge imbalance between the controlled UL TX power of MT and the DL TX power of DU. </w:t>
      </w:r>
    </w:p>
    <w:p w14:paraId="0F07C50E" w14:textId="77777777" w:rsidR="004A70EE" w:rsidRDefault="004A70EE" w:rsidP="004A70EE">
      <w:r>
        <w:t>Indeed, the more major issue is potentially the power sharing, where the total power of the UL and DL signals is more than the available max TX power.</w:t>
      </w:r>
    </w:p>
    <w:p w14:paraId="381F607C"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1</w:t>
      </w:r>
      <w:r w:rsidRPr="002774F4">
        <w:rPr>
          <w:b/>
          <w:bCs/>
          <w:u w:val="single"/>
        </w:rPr>
        <w:t>:</w:t>
      </w:r>
      <w:r w:rsidRPr="002774F4">
        <w:rPr>
          <w:b/>
          <w:bCs/>
        </w:rPr>
        <w:t xml:space="preserve"> </w:t>
      </w:r>
    </w:p>
    <w:p w14:paraId="26C549F1" w14:textId="77777777" w:rsidR="004A70EE" w:rsidRPr="00C75C6A" w:rsidRDefault="004A70EE" w:rsidP="004A70EE">
      <w:pPr>
        <w:overflowPunct/>
        <w:autoSpaceDE/>
        <w:autoSpaceDN/>
        <w:adjustRightInd/>
        <w:spacing w:after="160" w:line="259" w:lineRule="auto"/>
        <w:jc w:val="both"/>
        <w:textAlignment w:val="auto"/>
        <w:rPr>
          <w:b/>
          <w:bCs/>
        </w:rPr>
      </w:pPr>
      <w:r>
        <w:rPr>
          <w:b/>
          <w:bCs/>
        </w:rPr>
        <w:t>In case of (MT TX, DU TX), the p</w:t>
      </w:r>
      <w:r w:rsidRPr="00C75C6A">
        <w:rPr>
          <w:b/>
          <w:bCs/>
        </w:rPr>
        <w:t>otential power issues may happen only if MT and DU share the same PAs and antennas for their concurrent transmissions.</w:t>
      </w:r>
      <w:r>
        <w:rPr>
          <w:b/>
          <w:bCs/>
        </w:rPr>
        <w:t xml:space="preserve"> In which case,</w:t>
      </w:r>
      <w:r w:rsidRPr="00C75C6A">
        <w:rPr>
          <w:b/>
          <w:bCs/>
        </w:rPr>
        <w:t xml:space="preserve"> </w:t>
      </w:r>
    </w:p>
    <w:p w14:paraId="79B274AB" w14:textId="77777777" w:rsidR="004A70EE" w:rsidRPr="00C75C6A" w:rsidRDefault="004A70EE" w:rsidP="004A70EE">
      <w:pPr>
        <w:pStyle w:val="ListParagraph"/>
        <w:numPr>
          <w:ilvl w:val="0"/>
          <w:numId w:val="9"/>
        </w:numPr>
        <w:overflowPunct/>
        <w:autoSpaceDE/>
        <w:autoSpaceDN/>
        <w:adjustRightInd/>
        <w:spacing w:after="160" w:line="259" w:lineRule="auto"/>
        <w:jc w:val="both"/>
        <w:textAlignment w:val="auto"/>
      </w:pPr>
      <w:r w:rsidRPr="005B585C">
        <w:rPr>
          <w:b/>
          <w:bCs/>
        </w:rPr>
        <w:t>TX power imbalance seems to be less of a concern.</w:t>
      </w:r>
    </w:p>
    <w:p w14:paraId="4E32C752" w14:textId="77777777" w:rsidR="004A70EE" w:rsidRPr="00592971" w:rsidRDefault="004A70EE" w:rsidP="004A70EE">
      <w:pPr>
        <w:pStyle w:val="ListParagraph"/>
        <w:numPr>
          <w:ilvl w:val="0"/>
          <w:numId w:val="9"/>
        </w:numPr>
        <w:overflowPunct/>
        <w:autoSpaceDE/>
        <w:autoSpaceDN/>
        <w:adjustRightInd/>
        <w:spacing w:after="160" w:line="259" w:lineRule="auto"/>
        <w:jc w:val="both"/>
        <w:textAlignment w:val="auto"/>
      </w:pPr>
      <w:r w:rsidRPr="005B585C">
        <w:rPr>
          <w:b/>
          <w:bCs/>
        </w:rPr>
        <w:t xml:space="preserve">TX power sharing rules are needed. </w:t>
      </w:r>
    </w:p>
    <w:p w14:paraId="0D1570BB" w14:textId="77777777" w:rsidR="004A70EE" w:rsidRDefault="004A70EE" w:rsidP="004A70EE">
      <w:pPr>
        <w:jc w:val="both"/>
      </w:pPr>
    </w:p>
    <w:p w14:paraId="0A92648B" w14:textId="77777777" w:rsidR="004A70EE" w:rsidRDefault="004A70EE" w:rsidP="004A70EE">
      <w:pPr>
        <w:jc w:val="both"/>
      </w:pPr>
      <w:r>
        <w:t>There are various possible solutions to address TX power sharing (and imbalance). Some examples are</w:t>
      </w:r>
    </w:p>
    <w:p w14:paraId="2D27DB39" w14:textId="77777777" w:rsidR="004A70EE" w:rsidRDefault="004A70EE" w:rsidP="004A70EE">
      <w:pPr>
        <w:pStyle w:val="ListParagraph"/>
        <w:numPr>
          <w:ilvl w:val="0"/>
          <w:numId w:val="10"/>
        </w:numPr>
        <w:overflowPunct/>
        <w:autoSpaceDE/>
        <w:autoSpaceDN/>
        <w:adjustRightInd/>
        <w:spacing w:after="160" w:line="259" w:lineRule="auto"/>
        <w:jc w:val="both"/>
        <w:textAlignment w:val="auto"/>
      </w:pPr>
      <w:r>
        <w:t>Reusing similar framework as in NR-DC power sharing rule (e.g. dynamically or semi-statically sharing power between MT and DU),</w:t>
      </w:r>
    </w:p>
    <w:p w14:paraId="6D11F26B" w14:textId="77777777" w:rsidR="004A70EE" w:rsidRDefault="004A70EE" w:rsidP="004A70EE">
      <w:pPr>
        <w:pStyle w:val="ListParagraph"/>
        <w:numPr>
          <w:ilvl w:val="0"/>
          <w:numId w:val="10"/>
        </w:numPr>
        <w:overflowPunct/>
        <w:autoSpaceDE/>
        <w:autoSpaceDN/>
        <w:adjustRightInd/>
        <w:spacing w:after="160" w:line="259" w:lineRule="auto"/>
        <w:jc w:val="both"/>
        <w:textAlignment w:val="auto"/>
      </w:pPr>
      <w:r>
        <w:t>Defining prioritization rules among UL and DL signals,</w:t>
      </w:r>
    </w:p>
    <w:p w14:paraId="648DF578" w14:textId="77777777" w:rsidR="004A70EE" w:rsidRDefault="004A70EE" w:rsidP="004A70EE">
      <w:pPr>
        <w:pStyle w:val="ListParagraph"/>
        <w:numPr>
          <w:ilvl w:val="0"/>
          <w:numId w:val="10"/>
        </w:numPr>
        <w:overflowPunct/>
        <w:autoSpaceDE/>
        <w:autoSpaceDN/>
        <w:adjustRightInd/>
        <w:spacing w:after="160" w:line="259" w:lineRule="auto"/>
        <w:jc w:val="both"/>
        <w:textAlignment w:val="auto"/>
      </w:pPr>
      <w:r>
        <w:t>Defining enhanced DL/UL power control schemes using assistance information from child and/or parent-node,</w:t>
      </w:r>
    </w:p>
    <w:p w14:paraId="350EED83" w14:textId="77777777" w:rsidR="004A70EE" w:rsidRDefault="004A70EE" w:rsidP="004A70EE">
      <w:pPr>
        <w:pStyle w:val="ListParagraph"/>
        <w:numPr>
          <w:ilvl w:val="0"/>
          <w:numId w:val="10"/>
        </w:numPr>
        <w:overflowPunct/>
        <w:autoSpaceDE/>
        <w:autoSpaceDN/>
        <w:adjustRightInd/>
        <w:spacing w:after="160" w:line="259" w:lineRule="auto"/>
        <w:jc w:val="both"/>
        <w:textAlignment w:val="auto"/>
      </w:pPr>
      <w:r>
        <w:t>Reusing Rel-16 resource management framework.</w:t>
      </w:r>
    </w:p>
    <w:p w14:paraId="18BA8A2B" w14:textId="77777777" w:rsidR="004A70EE" w:rsidRDefault="004A70EE" w:rsidP="004A70EE">
      <w:pPr>
        <w:jc w:val="both"/>
      </w:pPr>
      <w:r>
        <w:t xml:space="preserve">Among the above different alternatives, let us further investigate the last one. The concurrent MT TX and DU TX happens within an IAB-DU resource that is of type HARD or SOFT. Also, if DU transmits SSB, or periodic CSI-RS within SOFT or NA (not-available) resources, those resources are treated as HARD. We can reuse the expected behavior of IAB-DU with respect to different types of resources to derive prioritization rules required to address TX power sharing (and imbalance) issues. </w:t>
      </w:r>
    </w:p>
    <w:p w14:paraId="4753435A" w14:textId="77777777" w:rsidR="004A70EE" w:rsidRDefault="004A70EE" w:rsidP="004A70EE">
      <w:pPr>
        <w:pStyle w:val="ListParagraph"/>
        <w:numPr>
          <w:ilvl w:val="0"/>
          <w:numId w:val="11"/>
        </w:numPr>
        <w:overflowPunct/>
        <w:autoSpaceDE/>
        <w:autoSpaceDN/>
        <w:adjustRightInd/>
        <w:spacing w:after="160" w:line="259" w:lineRule="auto"/>
        <w:jc w:val="both"/>
        <w:textAlignment w:val="auto"/>
      </w:pPr>
      <w:r>
        <w:t>Over HARD resources, it is left to the IAB-node to decide whether to give priority (e.g. more TX power) to its DU’s DL TX or its MT’s UL TX.</w:t>
      </w:r>
    </w:p>
    <w:p w14:paraId="604BA238" w14:textId="77777777" w:rsidR="004A70EE" w:rsidRDefault="004A70EE" w:rsidP="004A70EE">
      <w:pPr>
        <w:pStyle w:val="ListParagraph"/>
        <w:numPr>
          <w:ilvl w:val="0"/>
          <w:numId w:val="11"/>
        </w:numPr>
        <w:overflowPunct/>
        <w:autoSpaceDE/>
        <w:autoSpaceDN/>
        <w:adjustRightInd/>
        <w:spacing w:after="160" w:line="259" w:lineRule="auto"/>
        <w:jc w:val="both"/>
        <w:textAlignment w:val="auto"/>
      </w:pPr>
      <w:r>
        <w:t xml:space="preserve">Over SOFT resources, IAB-node gives priority to its MT’s UL TX to avoid any impact on parent BH communication. </w:t>
      </w:r>
    </w:p>
    <w:p w14:paraId="509B25F8" w14:textId="77777777" w:rsidR="004A70EE" w:rsidRDefault="004A70EE" w:rsidP="004A70EE">
      <w:pPr>
        <w:pStyle w:val="ListParagraph"/>
        <w:numPr>
          <w:ilvl w:val="0"/>
          <w:numId w:val="11"/>
        </w:numPr>
        <w:overflowPunct/>
        <w:autoSpaceDE/>
        <w:autoSpaceDN/>
        <w:adjustRightInd/>
        <w:spacing w:after="160" w:line="259" w:lineRule="auto"/>
        <w:jc w:val="both"/>
        <w:textAlignment w:val="auto"/>
      </w:pPr>
      <w:r>
        <w:t xml:space="preserve">For SSB/CSI-RS transmissions, IAB-node should give priority to these DL reference signals because UEs/child MTs may be doing DL measurements based on these signals and the assumption that the DL TX power is constant and equal to the associated RRC-configured value. </w:t>
      </w:r>
    </w:p>
    <w:p w14:paraId="6B0C7CF3" w14:textId="77777777" w:rsidR="004A70EE" w:rsidRDefault="004A70EE" w:rsidP="004A70EE">
      <w:pPr>
        <w:jc w:val="both"/>
      </w:pPr>
      <w:r>
        <w:t>Given the above discussion, we do not see an immediate need to define any new power control scheme for (MT TX, DU TX) case.</w:t>
      </w:r>
    </w:p>
    <w:p w14:paraId="592258A8"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2</w:t>
      </w:r>
      <w:r w:rsidRPr="002774F4">
        <w:rPr>
          <w:b/>
          <w:bCs/>
          <w:u w:val="single"/>
        </w:rPr>
        <w:t>:</w:t>
      </w:r>
      <w:r w:rsidRPr="002774F4">
        <w:rPr>
          <w:b/>
          <w:bCs/>
        </w:rPr>
        <w:t xml:space="preserve"> </w:t>
      </w:r>
    </w:p>
    <w:p w14:paraId="15B011E8" w14:textId="77777777" w:rsidR="004A70EE" w:rsidRPr="002D12DA" w:rsidRDefault="004A70EE" w:rsidP="004A70EE">
      <w:pPr>
        <w:overflowPunct/>
        <w:autoSpaceDE/>
        <w:autoSpaceDN/>
        <w:adjustRightInd/>
        <w:spacing w:after="160" w:line="259" w:lineRule="auto"/>
        <w:jc w:val="both"/>
        <w:textAlignment w:val="auto"/>
      </w:pPr>
      <w:r>
        <w:rPr>
          <w:b/>
          <w:bCs/>
        </w:rPr>
        <w:t xml:space="preserve">In case of (MT TX, DU TX), and if TX power adjustment is needed to address either a power sharing or a power imbalance issue, </w:t>
      </w:r>
      <w:r w:rsidRPr="005B585C">
        <w:rPr>
          <w:b/>
          <w:bCs/>
        </w:rPr>
        <w:t>the IAB-node prioritizes between its MT’s UL TX and DU’s DL TX based on the DU’s resource type (HARD and SOFT).</w:t>
      </w:r>
    </w:p>
    <w:p w14:paraId="1EABA1D6" w14:textId="77777777" w:rsidR="004A70EE" w:rsidRPr="00592971" w:rsidRDefault="004A70EE" w:rsidP="004A70EE">
      <w:pPr>
        <w:overflowPunct/>
        <w:autoSpaceDE/>
        <w:autoSpaceDN/>
        <w:adjustRightInd/>
        <w:spacing w:after="160" w:line="259" w:lineRule="auto"/>
        <w:jc w:val="both"/>
        <w:textAlignment w:val="auto"/>
      </w:pPr>
      <w:r>
        <w:rPr>
          <w:b/>
          <w:bCs/>
        </w:rPr>
        <w:t xml:space="preserve">Note: SSB and CSI-RS should be transmitted with constant power.   </w:t>
      </w:r>
    </w:p>
    <w:p w14:paraId="396C5D31" w14:textId="77777777" w:rsidR="004A70EE" w:rsidRDefault="004A70EE" w:rsidP="004A70EE">
      <w:pPr>
        <w:rPr>
          <w:b/>
          <w:bCs/>
        </w:rPr>
      </w:pPr>
    </w:p>
    <w:p w14:paraId="0D400176" w14:textId="77777777" w:rsidR="004A70EE" w:rsidRPr="002F0848" w:rsidRDefault="004A70EE" w:rsidP="004A70EE">
      <w:pPr>
        <w:pStyle w:val="Heading3"/>
      </w:pPr>
      <w:r>
        <w:t>Power control for (MT RX, DU RX)</w:t>
      </w:r>
    </w:p>
    <w:p w14:paraId="6B84CB7B" w14:textId="77777777" w:rsidR="004A70EE" w:rsidRDefault="004A70EE" w:rsidP="004A70EE">
      <w:pPr>
        <w:jc w:val="both"/>
      </w:pPr>
      <w:r>
        <w:t>In this case, the potential issue is the RX power imbalance – i.e. MT’s DL RX power &gt;&gt; DU’s UL RX power. While the issue may happen specifically when MT and DU share the same panel, it may occur even if multiple panels are used for the concurrent receptions (depending on the amount of spatial isolation/separation).</w:t>
      </w:r>
    </w:p>
    <w:p w14:paraId="607F0FB0" w14:textId="77777777" w:rsidR="004A70EE" w:rsidRDefault="004A70EE" w:rsidP="004A70EE">
      <w:pPr>
        <w:jc w:val="both"/>
      </w:pPr>
      <w:r>
        <w:lastRenderedPageBreak/>
        <w:t xml:space="preserve">The proposed “prioritization-based” solution for (MT TX, DU TX) is not applicable for this case, because without any coordination the parent-node DU will anyways send its DL signal towards IAB-MT that may block the UL reception at the IAB-DU. </w:t>
      </w:r>
    </w:p>
    <w:p w14:paraId="0589C342" w14:textId="77777777" w:rsidR="004A70EE" w:rsidRDefault="004A70EE" w:rsidP="004A70EE">
      <w:pPr>
        <w:jc w:val="both"/>
      </w:pPr>
      <w:r>
        <w:t>The coordination can be done either locally or centrally.</w:t>
      </w:r>
    </w:p>
    <w:p w14:paraId="1114792C" w14:textId="77777777" w:rsidR="004A70EE" w:rsidRDefault="004A70EE" w:rsidP="004A70EE">
      <w:pPr>
        <w:jc w:val="both"/>
      </w:pPr>
      <w:r>
        <w:t>Alt1. IAB-node provides assistance information (e.g. request for a DL TX power back off) to the parent-node.</w:t>
      </w:r>
    </w:p>
    <w:p w14:paraId="59793751" w14:textId="77777777" w:rsidR="004A70EE" w:rsidRDefault="004A70EE" w:rsidP="004A70EE">
      <w:pPr>
        <w:jc w:val="both"/>
      </w:pPr>
      <w:r>
        <w:t>Alt2. CU may indicate max allowed TX power to the parent-node.</w:t>
      </w:r>
    </w:p>
    <w:p w14:paraId="1A4C1052" w14:textId="77777777" w:rsidR="004A70EE" w:rsidRDefault="004A70EE" w:rsidP="004A70EE">
      <w:pPr>
        <w:overflowPunct/>
        <w:autoSpaceDE/>
        <w:autoSpaceDN/>
        <w:adjustRightInd/>
        <w:spacing w:after="160" w:line="259" w:lineRule="auto"/>
        <w:jc w:val="both"/>
        <w:textAlignment w:val="auto"/>
      </w:pPr>
      <w:r>
        <w:t>We note the CU may already have sufficient information, through the reported measurements, whether/how much power back off is needed.</w:t>
      </w:r>
    </w:p>
    <w:p w14:paraId="731AD0DC" w14:textId="77777777" w:rsidR="004A70EE" w:rsidRPr="006D7C56" w:rsidRDefault="004A70EE" w:rsidP="004A70EE">
      <w:pPr>
        <w:jc w:val="both"/>
      </w:pPr>
      <w:r>
        <w:t xml:space="preserve">We also note that CU being able to configure max TX power for a DU cell would be quite useful in handling different interference scenarios that may show up beyond the (MT RX, DU RX) case. </w:t>
      </w:r>
    </w:p>
    <w:p w14:paraId="66CB752A" w14:textId="77777777" w:rsidR="004A70EE" w:rsidRDefault="004A70EE" w:rsidP="004A70EE">
      <w:pPr>
        <w:jc w:val="both"/>
        <w:rPr>
          <w:b/>
          <w:bCs/>
        </w:rPr>
      </w:pPr>
    </w:p>
    <w:p w14:paraId="265AC62B"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3</w:t>
      </w:r>
      <w:r w:rsidRPr="002774F4">
        <w:rPr>
          <w:b/>
          <w:bCs/>
          <w:u w:val="single"/>
        </w:rPr>
        <w:t>:</w:t>
      </w:r>
      <w:r w:rsidRPr="002774F4">
        <w:rPr>
          <w:b/>
          <w:bCs/>
        </w:rPr>
        <w:t xml:space="preserve"> </w:t>
      </w:r>
    </w:p>
    <w:p w14:paraId="03712768" w14:textId="77777777" w:rsidR="004A70EE" w:rsidRPr="004C2900" w:rsidRDefault="004A70EE" w:rsidP="004A70EE">
      <w:pPr>
        <w:overflowPunct/>
        <w:autoSpaceDE/>
        <w:autoSpaceDN/>
        <w:adjustRightInd/>
        <w:spacing w:after="160" w:line="259" w:lineRule="auto"/>
        <w:jc w:val="both"/>
        <w:textAlignment w:val="auto"/>
      </w:pPr>
      <w:r>
        <w:rPr>
          <w:b/>
          <w:bCs/>
        </w:rPr>
        <w:t xml:space="preserve">In case of (MT RX, DU RX), MT’s received DL signal can be too strong that it may block DU’s reception of an UL signal.  </w:t>
      </w:r>
    </w:p>
    <w:p w14:paraId="270174B5" w14:textId="77777777" w:rsidR="004A70EE" w:rsidRPr="002774F4" w:rsidRDefault="004A70EE" w:rsidP="004A70EE">
      <w:pPr>
        <w:jc w:val="both"/>
        <w:rPr>
          <w:b/>
          <w:bCs/>
        </w:rPr>
      </w:pPr>
      <w:r>
        <w:rPr>
          <w:b/>
          <w:bCs/>
          <w:u w:val="single"/>
        </w:rPr>
        <w:t>Proposal</w:t>
      </w:r>
      <w:r w:rsidRPr="002774F4">
        <w:rPr>
          <w:b/>
          <w:bCs/>
          <w:u w:val="single"/>
        </w:rPr>
        <w:t xml:space="preserve"> </w:t>
      </w:r>
      <w:r>
        <w:rPr>
          <w:b/>
          <w:bCs/>
          <w:u w:val="single"/>
        </w:rPr>
        <w:t>4.1</w:t>
      </w:r>
      <w:r w:rsidRPr="002774F4">
        <w:rPr>
          <w:b/>
          <w:bCs/>
          <w:u w:val="single"/>
        </w:rPr>
        <w:t>:</w:t>
      </w:r>
      <w:r w:rsidRPr="002774F4">
        <w:rPr>
          <w:b/>
          <w:bCs/>
        </w:rPr>
        <w:t xml:space="preserve"> </w:t>
      </w:r>
    </w:p>
    <w:p w14:paraId="7DE718DE" w14:textId="77777777" w:rsidR="004A70EE" w:rsidRDefault="004A70EE" w:rsidP="004A70EE">
      <w:pPr>
        <w:rPr>
          <w:b/>
          <w:bCs/>
        </w:rPr>
      </w:pPr>
      <w:r>
        <w:rPr>
          <w:b/>
          <w:bCs/>
        </w:rPr>
        <w:t>Support CU providing an IAB-DU, for each of its served cells, an indication of the max allowed DL TX power.</w:t>
      </w:r>
    </w:p>
    <w:p w14:paraId="69449F90" w14:textId="77777777" w:rsidR="005B585C" w:rsidRDefault="005B585C" w:rsidP="005B585C">
      <w:pPr>
        <w:rPr>
          <w:b/>
          <w:bCs/>
        </w:rPr>
      </w:pPr>
    </w:p>
    <w:bookmarkEnd w:id="1"/>
    <w:bookmarkEnd w:id="2"/>
    <w:p w14:paraId="338A8D0A" w14:textId="5D1D82B4" w:rsidR="00652213" w:rsidRDefault="007458D9" w:rsidP="006A3724">
      <w:pPr>
        <w:pStyle w:val="Heading2"/>
      </w:pPr>
      <w:r>
        <w:t>Conclusion</w:t>
      </w:r>
    </w:p>
    <w:p w14:paraId="65517ACB" w14:textId="7B0BC6EA" w:rsidR="007458D9" w:rsidRDefault="00F4475B" w:rsidP="00652213">
      <w:r>
        <w:t xml:space="preserve">This contribution </w:t>
      </w:r>
      <w:r w:rsidR="00A123EA">
        <w:t>provide</w:t>
      </w:r>
      <w:r w:rsidR="00A87D42">
        <w:t>d</w:t>
      </w:r>
      <w:r w:rsidR="008C1E35">
        <w:t xml:space="preserve"> </w:t>
      </w:r>
      <w:r w:rsidR="00F01CE3">
        <w:t xml:space="preserve">our view on additional enhancements for simultaneous operation </w:t>
      </w:r>
      <w:r w:rsidR="00F01CE3" w:rsidRPr="006463E5">
        <w:t>of IAB-node's child and parent links</w:t>
      </w:r>
      <w:r w:rsidR="008C1E35">
        <w:t xml:space="preserve"> </w:t>
      </w:r>
      <w:r w:rsidR="00A123EA">
        <w:t>.</w:t>
      </w:r>
      <w:r w:rsidR="00152200">
        <w:t xml:space="preserve"> The following observations and proposals were made:</w:t>
      </w:r>
    </w:p>
    <w:p w14:paraId="312BC907" w14:textId="0FF85304" w:rsidR="00726195" w:rsidRDefault="00726195" w:rsidP="00342EB8">
      <w:pPr>
        <w:rPr>
          <w:b/>
          <w:bCs/>
          <w:u w:val="single"/>
        </w:rPr>
      </w:pPr>
    </w:p>
    <w:p w14:paraId="449574D4" w14:textId="77777777" w:rsidR="00263EEE" w:rsidRDefault="00263EEE" w:rsidP="00342EB8">
      <w:pPr>
        <w:rPr>
          <w:b/>
          <w:bCs/>
          <w:u w:val="single"/>
        </w:rPr>
      </w:pPr>
    </w:p>
    <w:p w14:paraId="2F92FC39" w14:textId="4B164A43"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.1</w:t>
      </w:r>
      <w:r w:rsidRPr="00AC2F9A">
        <w:rPr>
          <w:b/>
          <w:bCs/>
          <w:u w:val="single"/>
        </w:rPr>
        <w:t>:</w:t>
      </w:r>
    </w:p>
    <w:p w14:paraId="34E2EEE6" w14:textId="77777777" w:rsidR="00342EB8" w:rsidRPr="00AC2F9A" w:rsidRDefault="00342EB8" w:rsidP="00342EB8">
      <w:pPr>
        <w:rPr>
          <w:b/>
          <w:bCs/>
        </w:rPr>
      </w:pPr>
      <w:r w:rsidRPr="00AC2F9A">
        <w:rPr>
          <w:b/>
          <w:bCs/>
        </w:rPr>
        <w:t>Operation in Case 6 timing mode of an IAB-node may cause uplink interference at the IAB-DU receiver of its parent node and/or may require special handling in the uplink scheduler of its parent node to TDM users to avoid such interference.</w:t>
      </w:r>
      <w:r>
        <w:rPr>
          <w:b/>
          <w:bCs/>
        </w:rPr>
        <w:t xml:space="preserve"> This concern is addressed by letting the parent node be in control of Case 6 timing at a child node.</w:t>
      </w:r>
    </w:p>
    <w:p w14:paraId="355E69E0" w14:textId="7901E810"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w:t>
      </w:r>
      <w:r w:rsidRPr="00AC2F9A">
        <w:rPr>
          <w:b/>
          <w:bCs/>
          <w:u w:val="single"/>
        </w:rPr>
        <w:t>2:</w:t>
      </w:r>
    </w:p>
    <w:p w14:paraId="02108E62" w14:textId="77777777" w:rsidR="00342EB8" w:rsidRDefault="00342EB8" w:rsidP="00342EB8">
      <w:r w:rsidRPr="00CD043F">
        <w:rPr>
          <w:b/>
          <w:bCs/>
        </w:rPr>
        <w:t>Case 6 timing at a given IAB node can be achieved by the parent node controlling the IAB node UL timing appropriately.</w:t>
      </w:r>
    </w:p>
    <w:p w14:paraId="31B26EAC" w14:textId="37E1CB9F"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w:t>
      </w:r>
      <w:r>
        <w:rPr>
          <w:b/>
          <w:bCs/>
          <w:u w:val="single"/>
        </w:rPr>
        <w:t>3</w:t>
      </w:r>
      <w:r w:rsidRPr="00AC2F9A">
        <w:rPr>
          <w:b/>
          <w:bCs/>
          <w:u w:val="single"/>
        </w:rPr>
        <w:t>:</w:t>
      </w:r>
    </w:p>
    <w:p w14:paraId="254C986C" w14:textId="77777777" w:rsidR="00342EB8" w:rsidRDefault="00342EB8" w:rsidP="00342EB8">
      <w:r>
        <w:rPr>
          <w:b/>
          <w:bCs/>
        </w:rPr>
        <w:t xml:space="preserve">OTA synchronization for IAB can be achieved using the Rel-16 mechanism concurrently with Case 6 timing controlled by the parent node. </w:t>
      </w:r>
    </w:p>
    <w:p w14:paraId="0CDEC8E7" w14:textId="6DDF690F" w:rsidR="00342EB8" w:rsidRPr="00AC2F9A" w:rsidRDefault="00342EB8" w:rsidP="00342EB8">
      <w:pPr>
        <w:rPr>
          <w:b/>
          <w:bCs/>
          <w:u w:val="single"/>
        </w:rPr>
      </w:pPr>
      <w:r>
        <w:rPr>
          <w:b/>
          <w:bCs/>
          <w:u w:val="single"/>
        </w:rPr>
        <w:t>Proposal</w:t>
      </w:r>
      <w:r w:rsidRPr="00AC2F9A">
        <w:rPr>
          <w:b/>
          <w:bCs/>
          <w:u w:val="single"/>
        </w:rPr>
        <w:t xml:space="preserve"> </w:t>
      </w:r>
      <w:r w:rsidR="00CE004F">
        <w:rPr>
          <w:b/>
          <w:bCs/>
          <w:u w:val="single"/>
        </w:rPr>
        <w:t>2</w:t>
      </w:r>
      <w:r w:rsidR="00B96ED9">
        <w:rPr>
          <w:b/>
          <w:bCs/>
          <w:u w:val="single"/>
        </w:rPr>
        <w:t>.</w:t>
      </w:r>
      <w:r>
        <w:rPr>
          <w:b/>
          <w:bCs/>
          <w:u w:val="single"/>
        </w:rPr>
        <w:t>1</w:t>
      </w:r>
      <w:r w:rsidRPr="00AC2F9A">
        <w:rPr>
          <w:b/>
          <w:bCs/>
          <w:u w:val="single"/>
        </w:rPr>
        <w:t>:</w:t>
      </w:r>
    </w:p>
    <w:p w14:paraId="59CDFBCB" w14:textId="77777777" w:rsidR="00342EB8" w:rsidRDefault="00342EB8" w:rsidP="00342EB8">
      <w:r>
        <w:rPr>
          <w:b/>
          <w:bCs/>
        </w:rPr>
        <w:t>Case 6 timing is supported using Rel-16 mechanisms.</w:t>
      </w:r>
    </w:p>
    <w:p w14:paraId="550A1758" w14:textId="3D8DFCB6" w:rsidR="00342EB8" w:rsidRPr="00AC2F9A" w:rsidRDefault="00342EB8" w:rsidP="00342EB8">
      <w:pPr>
        <w:rPr>
          <w:b/>
          <w:bCs/>
          <w:u w:val="single"/>
        </w:rPr>
      </w:pPr>
      <w:r w:rsidRPr="00AC2F9A">
        <w:rPr>
          <w:b/>
          <w:bCs/>
          <w:u w:val="single"/>
        </w:rPr>
        <w:t xml:space="preserve">Observation </w:t>
      </w:r>
      <w:r w:rsidR="00CE004F">
        <w:rPr>
          <w:b/>
          <w:bCs/>
          <w:u w:val="single"/>
        </w:rPr>
        <w:t>2</w:t>
      </w:r>
      <w:r w:rsidR="00B96ED9">
        <w:rPr>
          <w:b/>
          <w:bCs/>
          <w:u w:val="single"/>
        </w:rPr>
        <w:t>.</w:t>
      </w:r>
      <w:r>
        <w:rPr>
          <w:b/>
          <w:bCs/>
          <w:u w:val="single"/>
        </w:rPr>
        <w:t>4</w:t>
      </w:r>
      <w:r w:rsidRPr="00AC2F9A">
        <w:rPr>
          <w:b/>
          <w:bCs/>
          <w:u w:val="single"/>
        </w:rPr>
        <w:t>:</w:t>
      </w:r>
    </w:p>
    <w:p w14:paraId="7F2E5B23" w14:textId="77777777" w:rsidR="00342EB8" w:rsidRDefault="00342EB8" w:rsidP="00342EB8">
      <w:pPr>
        <w:rPr>
          <w:b/>
          <w:bCs/>
        </w:rPr>
      </w:pPr>
      <w:r w:rsidRPr="00AC2F9A">
        <w:rPr>
          <w:b/>
          <w:bCs/>
        </w:rPr>
        <w:t xml:space="preserve">Operation in Case 7 timing mode may require </w:t>
      </w:r>
      <w:r>
        <w:rPr>
          <w:b/>
          <w:bCs/>
        </w:rPr>
        <w:t xml:space="preserve">in some conditions </w:t>
      </w:r>
      <w:r w:rsidRPr="00D749F7">
        <w:rPr>
          <w:b/>
          <w:bCs/>
        </w:rPr>
        <w:t>a negative effective TA on the uplink transmission timing</w:t>
      </w:r>
      <w:r w:rsidRPr="00AC2F9A">
        <w:rPr>
          <w:b/>
          <w:bCs/>
        </w:rPr>
        <w:t>.</w:t>
      </w:r>
      <w:r>
        <w:rPr>
          <w:b/>
          <w:bCs/>
        </w:rPr>
        <w:t xml:space="preserve"> </w:t>
      </w:r>
      <w:r w:rsidRPr="00D749F7">
        <w:rPr>
          <w:b/>
          <w:bCs/>
        </w:rPr>
        <w:t>Specifically, this would occur when the one way delay to the parent node is larger than the round trip delay to the child node.</w:t>
      </w:r>
    </w:p>
    <w:p w14:paraId="3202615C" w14:textId="17339B35" w:rsidR="00342EB8" w:rsidRPr="00AC2F9A" w:rsidRDefault="00342EB8" w:rsidP="00342EB8">
      <w:pPr>
        <w:rPr>
          <w:b/>
          <w:bCs/>
          <w:u w:val="single"/>
        </w:rPr>
      </w:pPr>
      <w:r>
        <w:rPr>
          <w:b/>
          <w:bCs/>
          <w:u w:val="single"/>
        </w:rPr>
        <w:t>Proposal</w:t>
      </w:r>
      <w:r w:rsidRPr="00AC2F9A">
        <w:rPr>
          <w:b/>
          <w:bCs/>
          <w:u w:val="single"/>
        </w:rPr>
        <w:t xml:space="preserve"> </w:t>
      </w:r>
      <w:r w:rsidR="00CE004F">
        <w:rPr>
          <w:b/>
          <w:bCs/>
          <w:u w:val="single"/>
        </w:rPr>
        <w:t>2</w:t>
      </w:r>
      <w:r w:rsidR="00B96ED9">
        <w:rPr>
          <w:b/>
          <w:bCs/>
          <w:u w:val="single"/>
        </w:rPr>
        <w:t>.</w:t>
      </w:r>
      <w:r>
        <w:rPr>
          <w:b/>
          <w:bCs/>
          <w:u w:val="single"/>
        </w:rPr>
        <w:t>2</w:t>
      </w:r>
      <w:r w:rsidRPr="00AC2F9A">
        <w:rPr>
          <w:b/>
          <w:bCs/>
          <w:u w:val="single"/>
        </w:rPr>
        <w:t>:</w:t>
      </w:r>
    </w:p>
    <w:p w14:paraId="205DC7FD" w14:textId="77777777" w:rsidR="00342EB8" w:rsidRPr="00AC2F9A" w:rsidRDefault="00342EB8" w:rsidP="00342EB8">
      <w:pPr>
        <w:rPr>
          <w:b/>
          <w:bCs/>
        </w:rPr>
      </w:pPr>
      <w:r>
        <w:rPr>
          <w:b/>
          <w:bCs/>
        </w:rPr>
        <w:lastRenderedPageBreak/>
        <w:t xml:space="preserve">The effective TA for UL timing control is extended to the negative domain for the IAB-MT. </w:t>
      </w:r>
    </w:p>
    <w:p w14:paraId="7A1C809B" w14:textId="77777777" w:rsidR="00726195" w:rsidRDefault="00726195" w:rsidP="00726195">
      <w:pPr>
        <w:jc w:val="both"/>
        <w:rPr>
          <w:b/>
          <w:bCs/>
          <w:u w:val="single"/>
        </w:rPr>
      </w:pPr>
    </w:p>
    <w:p w14:paraId="405EF7F1" w14:textId="77777777" w:rsidR="00726195" w:rsidRDefault="00726195" w:rsidP="00726195">
      <w:pPr>
        <w:jc w:val="both"/>
        <w:rPr>
          <w:b/>
          <w:bCs/>
          <w:u w:val="single"/>
        </w:rPr>
      </w:pPr>
    </w:p>
    <w:p w14:paraId="4B6CD40F" w14:textId="77777777" w:rsidR="004A70EE" w:rsidRDefault="004A70EE" w:rsidP="004A70EE">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1</w:t>
      </w:r>
      <w:r w:rsidRPr="00B41255">
        <w:rPr>
          <w:b/>
          <w:bCs/>
          <w:u w:val="single"/>
        </w:rPr>
        <w:t>:</w:t>
      </w:r>
      <w:r w:rsidRPr="00F41176">
        <w:rPr>
          <w:b/>
          <w:bCs/>
        </w:rPr>
        <w:t xml:space="preserve"> </w:t>
      </w:r>
    </w:p>
    <w:p w14:paraId="291022AF" w14:textId="77777777" w:rsidR="004A70EE" w:rsidRDefault="004A70EE" w:rsidP="004A70EE">
      <w:pPr>
        <w:pStyle w:val="ListParagraph"/>
        <w:numPr>
          <w:ilvl w:val="0"/>
          <w:numId w:val="5"/>
        </w:numPr>
        <w:overflowPunct/>
        <w:autoSpaceDE/>
        <w:autoSpaceDN/>
        <w:adjustRightInd/>
        <w:spacing w:after="160" w:line="259" w:lineRule="auto"/>
        <w:jc w:val="both"/>
        <w:textAlignment w:val="auto"/>
        <w:rPr>
          <w:b/>
          <w:bCs/>
        </w:rPr>
      </w:pPr>
      <w:r>
        <w:rPr>
          <w:b/>
          <w:bCs/>
        </w:rPr>
        <w:t>Rel-16 CLI framework does not support coordination across CUs to indicate the SRS configurations for UEs/IAB-MT’s CLI measurement.</w:t>
      </w:r>
    </w:p>
    <w:p w14:paraId="6B0F683E" w14:textId="77777777" w:rsidR="004A70EE" w:rsidRDefault="004A70EE" w:rsidP="004A70EE">
      <w:pPr>
        <w:pStyle w:val="ListParagraph"/>
        <w:numPr>
          <w:ilvl w:val="0"/>
          <w:numId w:val="5"/>
        </w:numPr>
        <w:overflowPunct/>
        <w:autoSpaceDE/>
        <w:autoSpaceDN/>
        <w:adjustRightInd/>
        <w:spacing w:after="160" w:line="259" w:lineRule="auto"/>
        <w:jc w:val="both"/>
        <w:textAlignment w:val="auto"/>
        <w:rPr>
          <w:b/>
          <w:bCs/>
        </w:rPr>
      </w:pPr>
      <w:r>
        <w:rPr>
          <w:b/>
          <w:bCs/>
        </w:rPr>
        <w:t xml:space="preserve">Rel-16 CLI signalling (intended TDD configuration) should be extended to support IAB-specific resource configurations. </w:t>
      </w:r>
    </w:p>
    <w:p w14:paraId="491EF61A" w14:textId="77777777" w:rsidR="004A70EE" w:rsidRDefault="004A70EE" w:rsidP="004A70EE">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43D42CB8" w14:textId="16C65FCC" w:rsidR="004A70EE" w:rsidRDefault="004A70EE" w:rsidP="004A70EE">
      <w:pPr>
        <w:jc w:val="both"/>
        <w:rPr>
          <w:b/>
          <w:bCs/>
        </w:rPr>
      </w:pPr>
      <w:r>
        <w:rPr>
          <w:b/>
          <w:bCs/>
        </w:rPr>
        <w:t>Send an LS to RAN3 to (a) support exchange of SRS configurations among CUs for CLI measurements, and (b) extend the intended TDD configuration signalling to support IAB-specific resource configurations.</w:t>
      </w:r>
    </w:p>
    <w:p w14:paraId="54A69BF5" w14:textId="77777777" w:rsidR="004A70EE" w:rsidRDefault="004A70EE" w:rsidP="004A70EE">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16B9DDE6" w14:textId="77777777" w:rsidR="004A70EE" w:rsidRDefault="004A70EE" w:rsidP="004A70EE">
      <w:pPr>
        <w:numPr>
          <w:ilvl w:val="0"/>
          <w:numId w:val="6"/>
        </w:numPr>
        <w:overflowPunct/>
        <w:autoSpaceDE/>
        <w:autoSpaceDN/>
        <w:adjustRightInd/>
        <w:spacing w:after="160" w:line="259" w:lineRule="auto"/>
        <w:jc w:val="both"/>
        <w:textAlignment w:val="auto"/>
        <w:rPr>
          <w:b/>
          <w:bCs/>
        </w:rPr>
      </w:pPr>
      <w:r w:rsidRPr="00690F27">
        <w:rPr>
          <w:b/>
          <w:bCs/>
        </w:rPr>
        <w:t xml:space="preserve">Rel-16 CLI measurements are RRC configured, and reports are L3 reports. Hence the DU (or parent-node DU) is not involved in configuring the measurements of its UEs (or child MTs) and </w:t>
      </w:r>
      <w:r>
        <w:rPr>
          <w:b/>
          <w:bCs/>
        </w:rPr>
        <w:t xml:space="preserve">more importantly </w:t>
      </w:r>
      <w:r w:rsidRPr="00690F27">
        <w:rPr>
          <w:b/>
          <w:bCs/>
        </w:rPr>
        <w:t xml:space="preserve">does not know about the </w:t>
      </w:r>
      <w:r>
        <w:rPr>
          <w:b/>
          <w:bCs/>
        </w:rPr>
        <w:t>result</w:t>
      </w:r>
      <w:r w:rsidRPr="00690F27">
        <w:rPr>
          <w:b/>
          <w:bCs/>
        </w:rPr>
        <w:t xml:space="preserve"> of the</w:t>
      </w:r>
      <w:r>
        <w:rPr>
          <w:b/>
          <w:bCs/>
        </w:rPr>
        <w:t>ir</w:t>
      </w:r>
      <w:r w:rsidRPr="00690F27">
        <w:rPr>
          <w:b/>
          <w:bCs/>
        </w:rPr>
        <w:t xml:space="preserve"> CLI measurements.</w:t>
      </w:r>
    </w:p>
    <w:p w14:paraId="73827680" w14:textId="77777777" w:rsidR="004A70EE" w:rsidRDefault="004A70EE" w:rsidP="004A70EE">
      <w:pPr>
        <w:numPr>
          <w:ilvl w:val="0"/>
          <w:numId w:val="6"/>
        </w:numPr>
        <w:overflowPunct/>
        <w:autoSpaceDE/>
        <w:autoSpaceDN/>
        <w:adjustRightInd/>
        <w:spacing w:after="160" w:line="259" w:lineRule="auto"/>
        <w:jc w:val="both"/>
        <w:textAlignment w:val="auto"/>
        <w:rPr>
          <w:b/>
          <w:bCs/>
        </w:rPr>
      </w:pPr>
      <w:r w:rsidRPr="002F0848">
        <w:rPr>
          <w:b/>
          <w:bCs/>
        </w:rPr>
        <w:t xml:space="preserve">IAB-MTs may be subject to strong and persistent CLI from other IAB-nodes. </w:t>
      </w:r>
    </w:p>
    <w:p w14:paraId="6F09044F" w14:textId="77777777" w:rsidR="004A70EE" w:rsidRPr="002F0848" w:rsidRDefault="004A70EE" w:rsidP="004A70EE">
      <w:pPr>
        <w:overflowPunct/>
        <w:autoSpaceDE/>
        <w:autoSpaceDN/>
        <w:adjustRightInd/>
        <w:spacing w:after="160" w:line="259" w:lineRule="auto"/>
        <w:jc w:val="both"/>
        <w:textAlignment w:val="auto"/>
        <w:rPr>
          <w:b/>
          <w:bCs/>
        </w:rPr>
      </w:pPr>
    </w:p>
    <w:p w14:paraId="47F7359F" w14:textId="77777777" w:rsidR="004A70EE" w:rsidRDefault="004A70EE" w:rsidP="004A70EE">
      <w:pPr>
        <w:jc w:val="both"/>
        <w:rPr>
          <w:b/>
          <w:bCs/>
        </w:rPr>
      </w:pPr>
      <w:r>
        <w:rPr>
          <w:b/>
          <w:bCs/>
          <w:u w:val="single"/>
        </w:rPr>
        <w:t>Proposal</w:t>
      </w:r>
      <w:r w:rsidRPr="00B41255">
        <w:rPr>
          <w:b/>
          <w:bCs/>
          <w:u w:val="single"/>
        </w:rPr>
        <w:t xml:space="preserve"> </w:t>
      </w:r>
      <w:r>
        <w:rPr>
          <w:b/>
          <w:bCs/>
          <w:u w:val="single"/>
        </w:rPr>
        <w:t>3</w:t>
      </w:r>
      <w:r w:rsidRPr="00B41255">
        <w:rPr>
          <w:b/>
          <w:bCs/>
          <w:u w:val="single"/>
        </w:rPr>
        <w:t>.</w:t>
      </w:r>
      <w:r>
        <w:rPr>
          <w:b/>
          <w:bCs/>
          <w:u w:val="single"/>
        </w:rPr>
        <w:t>2</w:t>
      </w:r>
      <w:r w:rsidRPr="00B41255">
        <w:rPr>
          <w:b/>
          <w:bCs/>
          <w:u w:val="single"/>
        </w:rPr>
        <w:t>:</w:t>
      </w:r>
      <w:r w:rsidRPr="00F41176">
        <w:rPr>
          <w:b/>
          <w:bCs/>
        </w:rPr>
        <w:t xml:space="preserve"> </w:t>
      </w:r>
    </w:p>
    <w:p w14:paraId="71D0F664" w14:textId="77777777" w:rsidR="004A70EE" w:rsidRPr="00690F27" w:rsidRDefault="004A70EE" w:rsidP="004A70EE">
      <w:pPr>
        <w:overflowPunct/>
        <w:autoSpaceDE/>
        <w:autoSpaceDN/>
        <w:adjustRightInd/>
        <w:spacing w:after="160" w:line="259" w:lineRule="auto"/>
        <w:jc w:val="both"/>
        <w:textAlignment w:val="auto"/>
        <w:rPr>
          <w:b/>
          <w:bCs/>
        </w:rPr>
      </w:pPr>
      <w:r>
        <w:rPr>
          <w:b/>
          <w:bCs/>
        </w:rPr>
        <w:t xml:space="preserve">An IAB-DU is provided with the result of CLI measurements by its child MTs, e.g. which child MTs are subject to strong CLI from neighbouring nodes.  </w:t>
      </w:r>
    </w:p>
    <w:p w14:paraId="71AF2ABC" w14:textId="77777777" w:rsidR="004A70EE" w:rsidRDefault="004A70EE" w:rsidP="004A70EE">
      <w:pPr>
        <w:jc w:val="both"/>
        <w:rPr>
          <w:b/>
          <w:bCs/>
        </w:rPr>
      </w:pPr>
      <w:r>
        <w:rPr>
          <w:b/>
          <w:bCs/>
          <w:u w:val="single"/>
        </w:rPr>
        <w:t>Observation</w:t>
      </w:r>
      <w:r w:rsidRPr="00B41255">
        <w:rPr>
          <w:b/>
          <w:bCs/>
          <w:u w:val="single"/>
        </w:rPr>
        <w:t xml:space="preserve"> </w:t>
      </w:r>
      <w:r>
        <w:rPr>
          <w:b/>
          <w:bCs/>
          <w:u w:val="single"/>
        </w:rPr>
        <w:t>3</w:t>
      </w:r>
      <w:r w:rsidRPr="00B41255">
        <w:rPr>
          <w:b/>
          <w:bCs/>
          <w:u w:val="single"/>
        </w:rPr>
        <w:t>.</w:t>
      </w:r>
      <w:r>
        <w:rPr>
          <w:b/>
          <w:bCs/>
          <w:u w:val="single"/>
        </w:rPr>
        <w:t>3</w:t>
      </w:r>
      <w:r w:rsidRPr="00B41255">
        <w:rPr>
          <w:b/>
          <w:bCs/>
          <w:u w:val="single"/>
        </w:rPr>
        <w:t>:</w:t>
      </w:r>
      <w:r w:rsidRPr="00F41176">
        <w:rPr>
          <w:b/>
          <w:bCs/>
        </w:rPr>
        <w:t xml:space="preserve"> </w:t>
      </w:r>
    </w:p>
    <w:p w14:paraId="68076056" w14:textId="77777777" w:rsidR="004A70EE" w:rsidRPr="00EB782F" w:rsidRDefault="004A70EE" w:rsidP="004A70EE">
      <w:pPr>
        <w:numPr>
          <w:ilvl w:val="0"/>
          <w:numId w:val="7"/>
        </w:numPr>
        <w:tabs>
          <w:tab w:val="clear" w:pos="720"/>
          <w:tab w:val="num" w:pos="360"/>
        </w:tabs>
        <w:overflowPunct/>
        <w:autoSpaceDE/>
        <w:autoSpaceDN/>
        <w:adjustRightInd/>
        <w:spacing w:after="160" w:line="259" w:lineRule="auto"/>
        <w:ind w:left="360"/>
        <w:jc w:val="both"/>
        <w:textAlignment w:val="auto"/>
        <w:rPr>
          <w:b/>
          <w:bCs/>
        </w:rPr>
      </w:pPr>
      <w:r>
        <w:rPr>
          <w:b/>
          <w:bCs/>
        </w:rPr>
        <w:t>A</w:t>
      </w:r>
      <w:r w:rsidRPr="00EB782F">
        <w:rPr>
          <w:b/>
          <w:bCs/>
        </w:rPr>
        <w:t xml:space="preserve"> standardized DU-to-DU CLI management</w:t>
      </w:r>
      <w:r>
        <w:rPr>
          <w:b/>
          <w:bCs/>
        </w:rPr>
        <w:t xml:space="preserve"> is</w:t>
      </w:r>
      <w:r w:rsidRPr="00EB782F">
        <w:rPr>
          <w:b/>
          <w:bCs/>
        </w:rPr>
        <w:t xml:space="preserve"> needed for inter-operability and especially in IAB, for a CU to determine proper resource configurations for its IAB-DUs.</w:t>
      </w:r>
    </w:p>
    <w:p w14:paraId="7E07AEC3" w14:textId="77777777" w:rsidR="004A70EE" w:rsidRDefault="004A70EE" w:rsidP="004A70EE">
      <w:pPr>
        <w:numPr>
          <w:ilvl w:val="0"/>
          <w:numId w:val="8"/>
        </w:numPr>
        <w:tabs>
          <w:tab w:val="clear" w:pos="720"/>
          <w:tab w:val="num" w:pos="360"/>
        </w:tabs>
        <w:overflowPunct/>
        <w:autoSpaceDE/>
        <w:autoSpaceDN/>
        <w:adjustRightInd/>
        <w:spacing w:after="160" w:line="259" w:lineRule="auto"/>
        <w:ind w:left="360"/>
        <w:jc w:val="both"/>
        <w:textAlignment w:val="auto"/>
        <w:rPr>
          <w:b/>
          <w:bCs/>
        </w:rPr>
      </w:pPr>
      <w:r w:rsidRPr="002774F4">
        <w:rPr>
          <w:b/>
          <w:bCs/>
        </w:rPr>
        <w:t xml:space="preserve">MT-to-MT CLI </w:t>
      </w:r>
      <w:r>
        <w:rPr>
          <w:b/>
          <w:bCs/>
        </w:rPr>
        <w:t xml:space="preserve">measurements/reports </w:t>
      </w:r>
      <w:r w:rsidRPr="002774F4">
        <w:rPr>
          <w:b/>
          <w:bCs/>
        </w:rPr>
        <w:t xml:space="preserve">may not </w:t>
      </w:r>
      <w:r>
        <w:rPr>
          <w:b/>
          <w:bCs/>
        </w:rPr>
        <w:t xml:space="preserve">be </w:t>
      </w:r>
      <w:r w:rsidRPr="002774F4">
        <w:rPr>
          <w:b/>
          <w:bCs/>
        </w:rPr>
        <w:t xml:space="preserve">always sufficient to </w:t>
      </w:r>
      <w:r>
        <w:rPr>
          <w:b/>
          <w:bCs/>
        </w:rPr>
        <w:t>provide</w:t>
      </w:r>
      <w:r w:rsidRPr="002774F4">
        <w:rPr>
          <w:b/>
          <w:bCs/>
        </w:rPr>
        <w:t xml:space="preserve"> </w:t>
      </w:r>
      <w:r>
        <w:rPr>
          <w:b/>
          <w:bCs/>
        </w:rPr>
        <w:t xml:space="preserve">the required </w:t>
      </w:r>
      <w:r w:rsidRPr="002774F4">
        <w:rPr>
          <w:b/>
          <w:bCs/>
        </w:rPr>
        <w:t xml:space="preserve">information about the collocated DU-to-DU CLI. </w:t>
      </w:r>
    </w:p>
    <w:p w14:paraId="07C861C9" w14:textId="77777777" w:rsidR="004A70EE" w:rsidRDefault="004A70EE" w:rsidP="004A70EE">
      <w:pPr>
        <w:jc w:val="both"/>
        <w:rPr>
          <w:b/>
          <w:bCs/>
        </w:rPr>
      </w:pPr>
    </w:p>
    <w:p w14:paraId="66B1D0B2" w14:textId="77777777" w:rsidR="004A70EE" w:rsidRPr="002774F4" w:rsidRDefault="004A70EE" w:rsidP="004A70EE">
      <w:pPr>
        <w:jc w:val="both"/>
        <w:rPr>
          <w:b/>
          <w:bCs/>
        </w:rPr>
      </w:pPr>
      <w:r w:rsidRPr="002774F4">
        <w:rPr>
          <w:b/>
          <w:bCs/>
          <w:u w:val="single"/>
        </w:rPr>
        <w:t xml:space="preserve">Observation </w:t>
      </w:r>
      <w:r>
        <w:rPr>
          <w:b/>
          <w:bCs/>
          <w:u w:val="single"/>
        </w:rPr>
        <w:t>3</w:t>
      </w:r>
      <w:r w:rsidRPr="002774F4">
        <w:rPr>
          <w:b/>
          <w:bCs/>
          <w:u w:val="single"/>
        </w:rPr>
        <w:t>.</w:t>
      </w:r>
      <w:r>
        <w:rPr>
          <w:b/>
          <w:bCs/>
          <w:u w:val="single"/>
        </w:rPr>
        <w:t>4</w:t>
      </w:r>
      <w:r w:rsidRPr="002774F4">
        <w:rPr>
          <w:b/>
          <w:bCs/>
          <w:u w:val="single"/>
        </w:rPr>
        <w:t>:</w:t>
      </w:r>
      <w:r w:rsidRPr="002774F4">
        <w:rPr>
          <w:b/>
          <w:bCs/>
        </w:rPr>
        <w:t xml:space="preserve"> </w:t>
      </w:r>
    </w:p>
    <w:p w14:paraId="4EA02D95" w14:textId="77777777" w:rsidR="004A70EE" w:rsidRPr="00C10D52" w:rsidRDefault="004A70EE" w:rsidP="004A70EE">
      <w:pPr>
        <w:overflowPunct/>
        <w:autoSpaceDE/>
        <w:autoSpaceDN/>
        <w:adjustRightInd/>
        <w:spacing w:after="160" w:line="259" w:lineRule="auto"/>
        <w:jc w:val="both"/>
        <w:textAlignment w:val="auto"/>
        <w:rPr>
          <w:b/>
          <w:bCs/>
        </w:rPr>
      </w:pPr>
      <w:r w:rsidRPr="00C10D52">
        <w:rPr>
          <w:b/>
          <w:bCs/>
        </w:rPr>
        <w:t>An IAB-DU can autonomously measure CLI from neighbouring DU cells, based on the available information at the IAB-MT (e.g. SMTC).</w:t>
      </w:r>
    </w:p>
    <w:p w14:paraId="72017CB3" w14:textId="77777777" w:rsidR="004A70EE" w:rsidRPr="000216AC" w:rsidRDefault="004A70EE" w:rsidP="004A70EE">
      <w:pPr>
        <w:jc w:val="both"/>
        <w:rPr>
          <w:b/>
          <w:bCs/>
          <w:u w:val="single"/>
        </w:rPr>
      </w:pPr>
      <w:r w:rsidRPr="000216AC">
        <w:rPr>
          <w:b/>
          <w:bCs/>
          <w:u w:val="single"/>
        </w:rPr>
        <w:t xml:space="preserve">Proposal </w:t>
      </w:r>
      <w:r>
        <w:rPr>
          <w:b/>
          <w:bCs/>
          <w:u w:val="single"/>
        </w:rPr>
        <w:t>3</w:t>
      </w:r>
      <w:r w:rsidRPr="000216AC">
        <w:rPr>
          <w:b/>
          <w:bCs/>
          <w:u w:val="single"/>
        </w:rPr>
        <w:t>.</w:t>
      </w:r>
      <w:r>
        <w:rPr>
          <w:b/>
          <w:bCs/>
          <w:u w:val="single"/>
        </w:rPr>
        <w:t>3</w:t>
      </w:r>
      <w:r w:rsidRPr="000216AC">
        <w:rPr>
          <w:b/>
          <w:bCs/>
          <w:u w:val="single"/>
        </w:rPr>
        <w:t>:</w:t>
      </w:r>
    </w:p>
    <w:p w14:paraId="3E19DB7C" w14:textId="77777777" w:rsidR="004A70EE" w:rsidRDefault="004A70EE" w:rsidP="004A70EE">
      <w:pPr>
        <w:overflowPunct/>
        <w:autoSpaceDE/>
        <w:autoSpaceDN/>
        <w:adjustRightInd/>
        <w:spacing w:after="160" w:line="259" w:lineRule="auto"/>
        <w:jc w:val="both"/>
        <w:textAlignment w:val="auto"/>
        <w:rPr>
          <w:b/>
          <w:bCs/>
        </w:rPr>
      </w:pPr>
      <w:r w:rsidRPr="00C10D52">
        <w:rPr>
          <w:b/>
          <w:bCs/>
        </w:rPr>
        <w:t>Support IAB-DU reporting the result of its CLI measurements to the CU</w:t>
      </w:r>
      <w:r>
        <w:rPr>
          <w:b/>
          <w:bCs/>
        </w:rPr>
        <w:t xml:space="preserve">, </w:t>
      </w:r>
      <w:r w:rsidRPr="00C10D52">
        <w:rPr>
          <w:b/>
          <w:bCs/>
        </w:rPr>
        <w:t xml:space="preserve">e.g. the list of neighbouring DU cells with strong CLI can be reported. </w:t>
      </w:r>
    </w:p>
    <w:p w14:paraId="0105F2A7" w14:textId="77777777" w:rsidR="004A70EE" w:rsidRPr="000458B3" w:rsidRDefault="004A70EE" w:rsidP="004A70EE">
      <w:pPr>
        <w:pStyle w:val="ListParagraph"/>
        <w:numPr>
          <w:ilvl w:val="0"/>
          <w:numId w:val="3"/>
        </w:numPr>
        <w:rPr>
          <w:lang w:val="en-US"/>
        </w:rPr>
      </w:pPr>
      <w:r>
        <w:rPr>
          <w:b/>
          <w:bCs/>
        </w:rPr>
        <w:t xml:space="preserve">Note: this would address both IAB-DU to IAB-DU and </w:t>
      </w:r>
      <w:r w:rsidRPr="000458B3">
        <w:rPr>
          <w:b/>
          <w:bCs/>
        </w:rPr>
        <w:t>IAB-DU to non-IAB-DU</w:t>
      </w:r>
      <w:r>
        <w:rPr>
          <w:b/>
          <w:bCs/>
        </w:rPr>
        <w:t xml:space="preserve"> interference scenarios. </w:t>
      </w:r>
    </w:p>
    <w:p w14:paraId="5C3A9289" w14:textId="77777777" w:rsidR="004A70EE" w:rsidRDefault="004A70EE" w:rsidP="004A70EE"/>
    <w:p w14:paraId="36DB5EBA" w14:textId="77777777" w:rsidR="004A70EE" w:rsidRPr="002774F4" w:rsidRDefault="004A70EE" w:rsidP="004A70EE">
      <w:pPr>
        <w:jc w:val="both"/>
        <w:rPr>
          <w:b/>
          <w:bCs/>
        </w:rPr>
      </w:pPr>
      <w:r w:rsidRPr="002774F4">
        <w:rPr>
          <w:b/>
          <w:bCs/>
          <w:u w:val="single"/>
        </w:rPr>
        <w:t xml:space="preserve">Observation </w:t>
      </w:r>
      <w:r>
        <w:rPr>
          <w:b/>
          <w:bCs/>
          <w:u w:val="single"/>
        </w:rPr>
        <w:t>3</w:t>
      </w:r>
      <w:r w:rsidRPr="002774F4">
        <w:rPr>
          <w:b/>
          <w:bCs/>
          <w:u w:val="single"/>
        </w:rPr>
        <w:t>.</w:t>
      </w:r>
      <w:r>
        <w:rPr>
          <w:b/>
          <w:bCs/>
          <w:u w:val="single"/>
        </w:rPr>
        <w:t>5</w:t>
      </w:r>
      <w:r w:rsidRPr="002774F4">
        <w:rPr>
          <w:b/>
          <w:bCs/>
          <w:u w:val="single"/>
        </w:rPr>
        <w:t>:</w:t>
      </w:r>
      <w:r w:rsidRPr="002774F4">
        <w:rPr>
          <w:b/>
          <w:bCs/>
        </w:rPr>
        <w:t xml:space="preserve"> </w:t>
      </w:r>
    </w:p>
    <w:p w14:paraId="18CDD23A" w14:textId="77777777" w:rsidR="004A70EE" w:rsidRDefault="004A70EE" w:rsidP="004A70EE">
      <w:pPr>
        <w:overflowPunct/>
        <w:autoSpaceDE/>
        <w:autoSpaceDN/>
        <w:adjustRightInd/>
        <w:spacing w:after="160" w:line="259" w:lineRule="auto"/>
        <w:jc w:val="both"/>
        <w:textAlignment w:val="auto"/>
        <w:rPr>
          <w:b/>
          <w:bCs/>
        </w:rPr>
      </w:pPr>
      <w:r>
        <w:rPr>
          <w:b/>
          <w:bCs/>
        </w:rPr>
        <w:t>A DU may or may not be capable of supporting dynamic TDD across its served cells – e.g. (DU cell m TX, DU cell n RX).</w:t>
      </w:r>
    </w:p>
    <w:p w14:paraId="2B06A794" w14:textId="77777777" w:rsidR="004A70EE" w:rsidRPr="002774F4" w:rsidRDefault="004A70EE" w:rsidP="004A70EE">
      <w:pPr>
        <w:jc w:val="both"/>
        <w:rPr>
          <w:b/>
          <w:bCs/>
        </w:rPr>
      </w:pPr>
      <w:r>
        <w:rPr>
          <w:b/>
          <w:bCs/>
          <w:u w:val="single"/>
        </w:rPr>
        <w:t>Proposal</w:t>
      </w:r>
      <w:r w:rsidRPr="002774F4">
        <w:rPr>
          <w:b/>
          <w:bCs/>
          <w:u w:val="single"/>
        </w:rPr>
        <w:t xml:space="preserve"> </w:t>
      </w:r>
      <w:r>
        <w:rPr>
          <w:b/>
          <w:bCs/>
          <w:u w:val="single"/>
        </w:rPr>
        <w:t>3</w:t>
      </w:r>
      <w:r w:rsidRPr="002774F4">
        <w:rPr>
          <w:b/>
          <w:bCs/>
          <w:u w:val="single"/>
        </w:rPr>
        <w:t>.</w:t>
      </w:r>
      <w:r>
        <w:rPr>
          <w:b/>
          <w:bCs/>
          <w:u w:val="single"/>
        </w:rPr>
        <w:t>4</w:t>
      </w:r>
      <w:r w:rsidRPr="002774F4">
        <w:rPr>
          <w:b/>
          <w:bCs/>
          <w:u w:val="single"/>
        </w:rPr>
        <w:t>:</w:t>
      </w:r>
      <w:r w:rsidRPr="002774F4">
        <w:rPr>
          <w:b/>
          <w:bCs/>
        </w:rPr>
        <w:t xml:space="preserve"> </w:t>
      </w:r>
    </w:p>
    <w:p w14:paraId="3957AE8F" w14:textId="77777777" w:rsidR="004A70EE" w:rsidRDefault="004A70EE" w:rsidP="004A70EE">
      <w:pPr>
        <w:overflowPunct/>
        <w:autoSpaceDE/>
        <w:autoSpaceDN/>
        <w:adjustRightInd/>
        <w:spacing w:after="160" w:line="259" w:lineRule="auto"/>
        <w:jc w:val="both"/>
        <w:textAlignment w:val="auto"/>
        <w:rPr>
          <w:b/>
          <w:bCs/>
        </w:rPr>
      </w:pPr>
      <w:r>
        <w:rPr>
          <w:b/>
          <w:bCs/>
        </w:rPr>
        <w:t>Support IAB-DU reporting multiplexing capability across its served cells (DU cell m TX, DU cell n RX).</w:t>
      </w:r>
    </w:p>
    <w:p w14:paraId="73D07CF6" w14:textId="77777777" w:rsidR="004A70EE" w:rsidRDefault="004A70EE" w:rsidP="004A70EE"/>
    <w:p w14:paraId="51E9811E" w14:textId="77777777" w:rsidR="004A70EE" w:rsidRDefault="004A70EE" w:rsidP="004A70EE">
      <w:pPr>
        <w:jc w:val="both"/>
        <w:rPr>
          <w:b/>
          <w:bCs/>
        </w:rPr>
      </w:pPr>
      <w:r w:rsidRPr="00B41255">
        <w:rPr>
          <w:b/>
          <w:bCs/>
          <w:u w:val="single"/>
        </w:rPr>
        <w:lastRenderedPageBreak/>
        <w:t xml:space="preserve">Observation </w:t>
      </w:r>
      <w:r>
        <w:rPr>
          <w:b/>
          <w:bCs/>
          <w:u w:val="single"/>
        </w:rPr>
        <w:t>3.6</w:t>
      </w:r>
      <w:r w:rsidRPr="00B41255">
        <w:rPr>
          <w:b/>
          <w:bCs/>
          <w:u w:val="single"/>
        </w:rPr>
        <w:t>:</w:t>
      </w:r>
      <w:r w:rsidRPr="00F41176">
        <w:rPr>
          <w:b/>
          <w:bCs/>
        </w:rPr>
        <w:t xml:space="preserve"> </w:t>
      </w:r>
    </w:p>
    <w:p w14:paraId="060B4B52" w14:textId="77777777" w:rsidR="004A70EE" w:rsidRPr="00187B78" w:rsidRDefault="004A70EE" w:rsidP="004A70EE">
      <w:pPr>
        <w:jc w:val="both"/>
        <w:rPr>
          <w:b/>
          <w:bCs/>
        </w:rPr>
      </w:pPr>
      <w:r>
        <w:rPr>
          <w:b/>
          <w:bCs/>
        </w:rPr>
        <w:t>T</w:t>
      </w:r>
      <w:r w:rsidRPr="00187B78">
        <w:rPr>
          <w:b/>
          <w:bCs/>
        </w:rPr>
        <w:t>here are two self-interference components:</w:t>
      </w:r>
    </w:p>
    <w:p w14:paraId="7A554015" w14:textId="77777777" w:rsidR="004A70EE" w:rsidRPr="00187B78" w:rsidRDefault="004A70EE" w:rsidP="004A70EE">
      <w:pPr>
        <w:numPr>
          <w:ilvl w:val="0"/>
          <w:numId w:val="5"/>
        </w:numPr>
        <w:overflowPunct/>
        <w:autoSpaceDE/>
        <w:autoSpaceDN/>
        <w:adjustRightInd/>
        <w:spacing w:after="160" w:line="259" w:lineRule="auto"/>
        <w:jc w:val="both"/>
        <w:textAlignment w:val="auto"/>
        <w:rPr>
          <w:b/>
          <w:bCs/>
        </w:rPr>
      </w:pPr>
      <w:r w:rsidRPr="00187B78">
        <w:rPr>
          <w:b/>
          <w:bCs/>
        </w:rPr>
        <w:t xml:space="preserve">Local coupling between the transmit and receive antennas </w:t>
      </w:r>
    </w:p>
    <w:p w14:paraId="338867C8" w14:textId="77777777" w:rsidR="004A70EE" w:rsidRDefault="004A70EE" w:rsidP="004A70EE">
      <w:pPr>
        <w:numPr>
          <w:ilvl w:val="0"/>
          <w:numId w:val="5"/>
        </w:numPr>
        <w:overflowPunct/>
        <w:autoSpaceDE/>
        <w:autoSpaceDN/>
        <w:adjustRightInd/>
        <w:spacing w:after="160" w:line="259" w:lineRule="auto"/>
        <w:jc w:val="both"/>
        <w:textAlignment w:val="auto"/>
      </w:pPr>
      <w:r w:rsidRPr="00187B78">
        <w:rPr>
          <w:b/>
          <w:bCs/>
        </w:rPr>
        <w:t>Reflection of the transmitted signal, by a remote object, back to the receive antennas</w:t>
      </w:r>
      <w:r>
        <w:t>.</w:t>
      </w:r>
    </w:p>
    <w:p w14:paraId="13022AC4" w14:textId="77777777" w:rsidR="004A70EE" w:rsidRPr="002F0848" w:rsidRDefault="004A70EE" w:rsidP="004A70EE">
      <w:pPr>
        <w:overflowPunct/>
        <w:autoSpaceDE/>
        <w:autoSpaceDN/>
        <w:adjustRightInd/>
        <w:spacing w:after="160" w:line="259" w:lineRule="auto"/>
        <w:jc w:val="both"/>
        <w:textAlignment w:val="auto"/>
      </w:pPr>
      <w:r w:rsidRPr="002F0848">
        <w:rPr>
          <w:b/>
          <w:bCs/>
        </w:rPr>
        <w:t>The amount of self-interference (and hence the efficiency of full-duplex capability) depends on TX and RX beamforming configurations and may change over time (due to change in the reflections).</w:t>
      </w:r>
    </w:p>
    <w:p w14:paraId="78894E2A" w14:textId="3DC80FB6" w:rsidR="004A70EE" w:rsidRDefault="004A70EE" w:rsidP="004A70EE"/>
    <w:p w14:paraId="507D7598" w14:textId="77777777" w:rsidR="004A70EE" w:rsidRDefault="004A70EE" w:rsidP="004A70EE">
      <w:pPr>
        <w:jc w:val="both"/>
        <w:rPr>
          <w:b/>
          <w:bCs/>
        </w:rPr>
      </w:pPr>
      <w:r w:rsidRPr="00187B78">
        <w:rPr>
          <w:b/>
          <w:bCs/>
          <w:u w:val="single"/>
        </w:rPr>
        <w:t xml:space="preserve">Observation </w:t>
      </w:r>
      <w:r>
        <w:rPr>
          <w:b/>
          <w:bCs/>
          <w:u w:val="single"/>
        </w:rPr>
        <w:t>3.7</w:t>
      </w:r>
      <w:r w:rsidRPr="00187B78">
        <w:rPr>
          <w:b/>
          <w:bCs/>
          <w:u w:val="single"/>
        </w:rPr>
        <w:t>:</w:t>
      </w:r>
      <w:r w:rsidRPr="00187B78">
        <w:rPr>
          <w:b/>
          <w:bCs/>
        </w:rPr>
        <w:t xml:space="preserve"> </w:t>
      </w:r>
    </w:p>
    <w:p w14:paraId="781521C1" w14:textId="77777777" w:rsidR="004A70EE" w:rsidRDefault="004A70EE" w:rsidP="004A70EE">
      <w:pPr>
        <w:jc w:val="both"/>
        <w:rPr>
          <w:b/>
          <w:bCs/>
        </w:rPr>
      </w:pPr>
      <w:r>
        <w:rPr>
          <w:b/>
          <w:bCs/>
        </w:rPr>
        <w:t xml:space="preserve">To determine how efficiently an IAB-node can operate in the full-duplex mode, it needs to periodically perform SI measurements. </w:t>
      </w:r>
    </w:p>
    <w:p w14:paraId="5DBCEBA3" w14:textId="77777777" w:rsidR="004A70EE" w:rsidRDefault="004A70EE" w:rsidP="004A70EE">
      <w:pPr>
        <w:jc w:val="both"/>
        <w:rPr>
          <w:b/>
          <w:bCs/>
        </w:rPr>
      </w:pPr>
      <w:r>
        <w:rPr>
          <w:b/>
          <w:bCs/>
          <w:u w:val="single"/>
        </w:rPr>
        <w:t>Proposal</w:t>
      </w:r>
      <w:r w:rsidRPr="00187B78">
        <w:rPr>
          <w:b/>
          <w:bCs/>
          <w:u w:val="single"/>
        </w:rPr>
        <w:t xml:space="preserve"> </w:t>
      </w:r>
      <w:r>
        <w:rPr>
          <w:b/>
          <w:bCs/>
          <w:u w:val="single"/>
        </w:rPr>
        <w:t>3.5</w:t>
      </w:r>
      <w:r w:rsidRPr="00187B78">
        <w:rPr>
          <w:b/>
          <w:bCs/>
          <w:u w:val="single"/>
        </w:rPr>
        <w:t>:</w:t>
      </w:r>
    </w:p>
    <w:p w14:paraId="33A8B63D" w14:textId="77777777" w:rsidR="004A70EE" w:rsidRDefault="004A70EE" w:rsidP="004A70EE">
      <w:pPr>
        <w:jc w:val="both"/>
        <w:rPr>
          <w:b/>
          <w:bCs/>
        </w:rPr>
      </w:pPr>
      <w:r>
        <w:rPr>
          <w:b/>
          <w:bCs/>
        </w:rPr>
        <w:t>SI measurement can be performed autonomously by an IAB-node.</w:t>
      </w:r>
    </w:p>
    <w:p w14:paraId="6A641CD2" w14:textId="77777777" w:rsidR="004A70EE" w:rsidRDefault="004A70EE" w:rsidP="004A70EE">
      <w:pPr>
        <w:jc w:val="both"/>
      </w:pPr>
    </w:p>
    <w:p w14:paraId="0EA1A2AA" w14:textId="77777777" w:rsidR="004A70EE" w:rsidRDefault="004A70EE" w:rsidP="004A70EE">
      <w:pPr>
        <w:jc w:val="both"/>
        <w:rPr>
          <w:b/>
          <w:bCs/>
        </w:rPr>
      </w:pPr>
      <w:r w:rsidRPr="00187B78">
        <w:rPr>
          <w:b/>
          <w:bCs/>
          <w:u w:val="single"/>
        </w:rPr>
        <w:t xml:space="preserve">Observation </w:t>
      </w:r>
      <w:r>
        <w:rPr>
          <w:b/>
          <w:bCs/>
          <w:u w:val="single"/>
        </w:rPr>
        <w:t>3.8</w:t>
      </w:r>
      <w:r w:rsidRPr="00187B78">
        <w:rPr>
          <w:b/>
          <w:bCs/>
          <w:u w:val="single"/>
        </w:rPr>
        <w:t>:</w:t>
      </w:r>
      <w:r w:rsidRPr="00187B78">
        <w:rPr>
          <w:b/>
          <w:bCs/>
        </w:rPr>
        <w:t xml:space="preserve"> </w:t>
      </w:r>
    </w:p>
    <w:p w14:paraId="69EA1A44" w14:textId="77777777" w:rsidR="004A70EE" w:rsidRDefault="004A70EE" w:rsidP="004A70EE">
      <w:pPr>
        <w:pStyle w:val="ListParagraph"/>
        <w:numPr>
          <w:ilvl w:val="0"/>
          <w:numId w:val="15"/>
        </w:numPr>
        <w:jc w:val="both"/>
        <w:rPr>
          <w:b/>
          <w:bCs/>
        </w:rPr>
      </w:pPr>
      <w:r w:rsidRPr="009A7891">
        <w:rPr>
          <w:b/>
          <w:bCs/>
        </w:rPr>
        <w:t>The efficiency of operating in enhanced multiplexing modes depends on the communication configuration (e.g. TX/RX beamforming) and may change over time.</w:t>
      </w:r>
    </w:p>
    <w:p w14:paraId="54FE909F" w14:textId="77777777" w:rsidR="004A70EE" w:rsidRPr="009A7891" w:rsidRDefault="004A70EE" w:rsidP="004A70EE">
      <w:pPr>
        <w:pStyle w:val="ListParagraph"/>
        <w:numPr>
          <w:ilvl w:val="0"/>
          <w:numId w:val="15"/>
        </w:numPr>
        <w:jc w:val="both"/>
        <w:rPr>
          <w:b/>
          <w:bCs/>
        </w:rPr>
      </w:pPr>
      <w:r w:rsidRPr="009A7891">
        <w:rPr>
          <w:b/>
          <w:bCs/>
        </w:rPr>
        <w:t>An IAB-node, at times and for given configurations, may not be able to effectively operate in an enhanced multiplexing mode whose support has been previously indicated as a capability to the network</w:t>
      </w:r>
    </w:p>
    <w:p w14:paraId="44FF0F82" w14:textId="77777777" w:rsidR="004A70EE" w:rsidRDefault="004A70EE" w:rsidP="004A70EE">
      <w:pPr>
        <w:jc w:val="both"/>
        <w:rPr>
          <w:b/>
          <w:bCs/>
        </w:rPr>
      </w:pPr>
      <w:r>
        <w:rPr>
          <w:b/>
          <w:bCs/>
          <w:u w:val="single"/>
        </w:rPr>
        <w:t>Proposal</w:t>
      </w:r>
      <w:r w:rsidRPr="00B41255">
        <w:rPr>
          <w:b/>
          <w:bCs/>
          <w:u w:val="single"/>
        </w:rPr>
        <w:t xml:space="preserve"> </w:t>
      </w:r>
      <w:r>
        <w:rPr>
          <w:b/>
          <w:bCs/>
          <w:u w:val="single"/>
        </w:rPr>
        <w:t>3.6</w:t>
      </w:r>
      <w:r w:rsidRPr="00B41255">
        <w:rPr>
          <w:b/>
          <w:bCs/>
          <w:u w:val="single"/>
        </w:rPr>
        <w:t>:</w:t>
      </w:r>
      <w:r w:rsidRPr="00F41176">
        <w:rPr>
          <w:b/>
          <w:bCs/>
        </w:rPr>
        <w:t xml:space="preserve"> </w:t>
      </w:r>
    </w:p>
    <w:p w14:paraId="0802CFB6" w14:textId="77777777" w:rsidR="004A70EE" w:rsidRPr="007507FF" w:rsidRDefault="004A70EE" w:rsidP="004A70EE">
      <w:pPr>
        <w:pStyle w:val="ListParagraph"/>
        <w:numPr>
          <w:ilvl w:val="0"/>
          <w:numId w:val="16"/>
        </w:numPr>
        <w:spacing w:after="0"/>
        <w:jc w:val="both"/>
        <w:rPr>
          <w:b/>
          <w:bCs/>
          <w:lang w:val="en-US"/>
        </w:rPr>
      </w:pPr>
      <w:r w:rsidRPr="007507FF">
        <w:rPr>
          <w:b/>
          <w:bCs/>
        </w:rPr>
        <w:t xml:space="preserve">Support local refinement indication </w:t>
      </w:r>
      <w:r>
        <w:rPr>
          <w:b/>
          <w:bCs/>
        </w:rPr>
        <w:t xml:space="preserve">by IAB-node </w:t>
      </w:r>
      <w:r w:rsidRPr="007507FF">
        <w:rPr>
          <w:b/>
          <w:bCs/>
        </w:rPr>
        <w:t>to the parent-node (e.g. via MAC-CE) for simultaneous operation:</w:t>
      </w:r>
    </w:p>
    <w:p w14:paraId="6EE738A7" w14:textId="77777777" w:rsidR="004A70EE" w:rsidRDefault="004A70EE" w:rsidP="004A70EE">
      <w:pPr>
        <w:pStyle w:val="ListParagraph"/>
        <w:numPr>
          <w:ilvl w:val="1"/>
          <w:numId w:val="16"/>
        </w:numPr>
        <w:spacing w:after="0"/>
        <w:jc w:val="both"/>
        <w:rPr>
          <w:b/>
          <w:bCs/>
        </w:rPr>
      </w:pPr>
      <w:r w:rsidRPr="007507FF">
        <w:rPr>
          <w:b/>
          <w:bCs/>
        </w:rPr>
        <w:t>to dynamically indicate whether the semi-static capability for enhanced multiplexing is applicable at the time.</w:t>
      </w:r>
    </w:p>
    <w:p w14:paraId="37756012" w14:textId="77777777" w:rsidR="004A70EE" w:rsidRPr="007507FF" w:rsidRDefault="004A70EE" w:rsidP="004A70EE">
      <w:pPr>
        <w:pStyle w:val="ListParagraph"/>
        <w:numPr>
          <w:ilvl w:val="1"/>
          <w:numId w:val="16"/>
        </w:numPr>
        <w:spacing w:after="0"/>
        <w:jc w:val="both"/>
        <w:rPr>
          <w:b/>
          <w:bCs/>
        </w:rPr>
      </w:pPr>
      <w:r w:rsidRPr="007507FF">
        <w:rPr>
          <w:b/>
          <w:bCs/>
        </w:rPr>
        <w:t>to specify conditions required to realize the enhanced multiplexing capability, e.g. timing mode and/or TX power constraints.</w:t>
      </w:r>
    </w:p>
    <w:p w14:paraId="2CF360B1" w14:textId="77777777" w:rsidR="004A70EE" w:rsidRPr="007507FF" w:rsidRDefault="004A70EE" w:rsidP="004A70EE">
      <w:pPr>
        <w:numPr>
          <w:ilvl w:val="0"/>
          <w:numId w:val="16"/>
        </w:numPr>
        <w:jc w:val="both"/>
        <w:rPr>
          <w:b/>
          <w:bCs/>
        </w:rPr>
      </w:pPr>
      <w:r w:rsidRPr="007507FF">
        <w:rPr>
          <w:b/>
          <w:bCs/>
        </w:rPr>
        <w:t>Support indicating the configuration(s) required to enable an enhanced multiplexing capability by IAB-node DU to donor CU, e.g. for which beams (SSBs) or which served child-nodes, the IAB-node can operate in the enhanced multiplexing mode.</w:t>
      </w:r>
    </w:p>
    <w:p w14:paraId="0FD12B17" w14:textId="77777777" w:rsidR="004A70EE" w:rsidRDefault="004A70EE" w:rsidP="004A70EE">
      <w:pPr>
        <w:jc w:val="both"/>
      </w:pPr>
    </w:p>
    <w:p w14:paraId="0D541CAE" w14:textId="77777777" w:rsidR="004A70EE" w:rsidRPr="00D83B28" w:rsidRDefault="004A70EE" w:rsidP="004A70EE">
      <w:pPr>
        <w:overflowPunct/>
        <w:autoSpaceDE/>
        <w:autoSpaceDN/>
        <w:adjustRightInd/>
        <w:textAlignment w:val="auto"/>
        <w:rPr>
          <w:b/>
          <w:bCs/>
          <w:u w:val="single"/>
        </w:rPr>
      </w:pPr>
      <w:r w:rsidRPr="00D83B28">
        <w:rPr>
          <w:b/>
          <w:bCs/>
          <w:u w:val="single"/>
        </w:rPr>
        <w:t>Proposal 3.</w:t>
      </w:r>
      <w:r>
        <w:rPr>
          <w:b/>
          <w:bCs/>
          <w:u w:val="single"/>
        </w:rPr>
        <w:t>7</w:t>
      </w:r>
      <w:r w:rsidRPr="00D83B28">
        <w:rPr>
          <w:b/>
          <w:bCs/>
          <w:u w:val="single"/>
        </w:rPr>
        <w:t>:</w:t>
      </w:r>
    </w:p>
    <w:p w14:paraId="6EDCFCF3" w14:textId="43DCD9B6" w:rsidR="004A70EE" w:rsidRPr="00D83B28" w:rsidRDefault="004A70EE" w:rsidP="004A70EE">
      <w:pPr>
        <w:overflowPunct/>
        <w:autoSpaceDE/>
        <w:autoSpaceDN/>
        <w:adjustRightInd/>
        <w:spacing w:after="0"/>
        <w:textAlignment w:val="auto"/>
        <w:rPr>
          <w:b/>
          <w:bCs/>
          <w:lang w:val="en-US" w:eastAsia="zh-CN"/>
        </w:rPr>
      </w:pPr>
      <w:r w:rsidRPr="00D83B28">
        <w:rPr>
          <w:b/>
          <w:bCs/>
          <w:lang w:val="en-US" w:eastAsia="zh-CN"/>
        </w:rPr>
        <w:t>Extend Rel</w:t>
      </w:r>
      <w:r w:rsidR="00414435">
        <w:rPr>
          <w:b/>
          <w:bCs/>
          <w:lang w:val="en-US" w:eastAsia="zh-CN"/>
        </w:rPr>
        <w:t>-</w:t>
      </w:r>
      <w:bookmarkStart w:id="5" w:name="_GoBack"/>
      <w:bookmarkEnd w:id="5"/>
      <w:r w:rsidRPr="00D83B28">
        <w:rPr>
          <w:b/>
          <w:bCs/>
          <w:lang w:val="en-US" w:eastAsia="zh-CN"/>
        </w:rPr>
        <w:t xml:space="preserve">16 IAB resource management framework from per DU cell to per “DU RB set”, where a “DU RB set” can be configured by CU as a set of consecutive RBs within a DU cell. </w:t>
      </w:r>
    </w:p>
    <w:p w14:paraId="2EE0E9E5" w14:textId="77777777" w:rsidR="004A70EE" w:rsidRPr="00D83B28" w:rsidRDefault="004A70EE" w:rsidP="004A70EE">
      <w:pPr>
        <w:numPr>
          <w:ilvl w:val="0"/>
          <w:numId w:val="17"/>
        </w:numPr>
        <w:overflowPunct/>
        <w:autoSpaceDE/>
        <w:autoSpaceDN/>
        <w:adjustRightInd/>
        <w:spacing w:after="0"/>
        <w:contextualSpacing/>
        <w:textAlignment w:val="auto"/>
        <w:rPr>
          <w:b/>
          <w:bCs/>
          <w:lang w:val="en-US" w:eastAsia="zh-CN"/>
        </w:rPr>
      </w:pPr>
      <w:r w:rsidRPr="00D83B28">
        <w:rPr>
          <w:b/>
          <w:bCs/>
          <w:lang w:val="en-US" w:eastAsia="zh-CN"/>
        </w:rPr>
        <w:t>The extension can be done for semi-static IAB-DU resource configuration and/or DCI2_5.</w:t>
      </w:r>
    </w:p>
    <w:p w14:paraId="0579B429" w14:textId="77777777" w:rsidR="004A70EE" w:rsidRDefault="004A70EE" w:rsidP="004A70EE">
      <w:pPr>
        <w:rPr>
          <w:b/>
          <w:bCs/>
          <w:u w:val="single"/>
          <w:lang w:val="en-US"/>
        </w:rPr>
      </w:pPr>
    </w:p>
    <w:p w14:paraId="290144B0" w14:textId="77777777" w:rsidR="004A70EE" w:rsidRDefault="004A70EE" w:rsidP="004A70EE">
      <w:pPr>
        <w:rPr>
          <w:lang w:val="en-US"/>
        </w:rPr>
      </w:pPr>
      <w:r w:rsidRPr="006B6628">
        <w:rPr>
          <w:b/>
          <w:bCs/>
          <w:u w:val="single"/>
          <w:lang w:val="en-US"/>
        </w:rPr>
        <w:t xml:space="preserve">Proposal </w:t>
      </w:r>
      <w:r>
        <w:rPr>
          <w:b/>
          <w:bCs/>
          <w:u w:val="single"/>
          <w:lang w:val="en-US"/>
        </w:rPr>
        <w:t>3.8</w:t>
      </w:r>
      <w:r w:rsidRPr="006B6628">
        <w:rPr>
          <w:b/>
          <w:bCs/>
          <w:u w:val="single"/>
          <w:lang w:val="en-US"/>
        </w:rPr>
        <w:t>:</w:t>
      </w:r>
      <w:r w:rsidRPr="006B6628">
        <w:rPr>
          <w:lang w:val="en-US"/>
        </w:rPr>
        <w:t xml:space="preserve"> </w:t>
      </w:r>
    </w:p>
    <w:p w14:paraId="30B4EBD4" w14:textId="77777777" w:rsidR="004A70EE" w:rsidRDefault="004A70EE" w:rsidP="004A70EE">
      <w:pPr>
        <w:spacing w:after="0"/>
        <w:rPr>
          <w:b/>
          <w:bCs/>
          <w:lang w:val="en-US"/>
        </w:rPr>
      </w:pPr>
      <w:r w:rsidRPr="006B6628">
        <w:rPr>
          <w:b/>
          <w:bCs/>
          <w:lang w:val="en-US"/>
        </w:rPr>
        <w:t xml:space="preserve">Extend the </w:t>
      </w:r>
      <w:r>
        <w:rPr>
          <w:b/>
          <w:bCs/>
          <w:lang w:val="en-US"/>
        </w:rPr>
        <w:t>R</w:t>
      </w:r>
      <w:r w:rsidRPr="006B6628">
        <w:rPr>
          <w:b/>
          <w:bCs/>
          <w:lang w:val="en-US"/>
        </w:rPr>
        <w:t>el-16 semi-static DU resource management to spatial-domai</w:t>
      </w:r>
      <w:r>
        <w:rPr>
          <w:b/>
          <w:bCs/>
          <w:lang w:val="en-US"/>
        </w:rPr>
        <w:t>n as follows:</w:t>
      </w:r>
    </w:p>
    <w:p w14:paraId="27C80054" w14:textId="77777777" w:rsidR="004A70EE" w:rsidRPr="00710C02" w:rsidRDefault="004A70EE" w:rsidP="004A70EE">
      <w:pPr>
        <w:pStyle w:val="ListParagraph"/>
        <w:numPr>
          <w:ilvl w:val="0"/>
          <w:numId w:val="18"/>
        </w:numPr>
        <w:jc w:val="both"/>
        <w:rPr>
          <w:b/>
          <w:bCs/>
        </w:rPr>
      </w:pPr>
      <w:r w:rsidRPr="00710C02">
        <w:rPr>
          <w:b/>
          <w:bCs/>
        </w:rPr>
        <w:t xml:space="preserve">Support indicating </w:t>
      </w:r>
      <w:r w:rsidRPr="00710C02">
        <w:rPr>
          <w:b/>
          <w:bCs/>
          <w:lang w:val="en-US"/>
        </w:rPr>
        <w:t>DU resource type (Hard/Soft/NA) per beam or per SSB area</w:t>
      </w:r>
      <w:r>
        <w:rPr>
          <w:b/>
          <w:bCs/>
          <w:lang w:val="en-US"/>
        </w:rPr>
        <w:t xml:space="preserve"> or per child node</w:t>
      </w:r>
      <w:r w:rsidRPr="00710C02">
        <w:rPr>
          <w:b/>
          <w:bCs/>
          <w:lang w:val="en-US"/>
        </w:rPr>
        <w:t xml:space="preserve"> by donor CU to an IAB-node DU.</w:t>
      </w:r>
    </w:p>
    <w:p w14:paraId="3EC167F7" w14:textId="77777777" w:rsidR="004A70EE" w:rsidRPr="001B3F2A" w:rsidRDefault="004A70EE" w:rsidP="004A70EE">
      <w:pPr>
        <w:jc w:val="both"/>
      </w:pPr>
    </w:p>
    <w:p w14:paraId="087DAC4E"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1</w:t>
      </w:r>
      <w:r w:rsidRPr="002774F4">
        <w:rPr>
          <w:b/>
          <w:bCs/>
          <w:u w:val="single"/>
        </w:rPr>
        <w:t>:</w:t>
      </w:r>
      <w:r w:rsidRPr="002774F4">
        <w:rPr>
          <w:b/>
          <w:bCs/>
        </w:rPr>
        <w:t xml:space="preserve"> </w:t>
      </w:r>
    </w:p>
    <w:p w14:paraId="5847DADE" w14:textId="77777777" w:rsidR="004A70EE" w:rsidRPr="00C75C6A" w:rsidRDefault="004A70EE" w:rsidP="004A70EE">
      <w:pPr>
        <w:overflowPunct/>
        <w:autoSpaceDE/>
        <w:autoSpaceDN/>
        <w:adjustRightInd/>
        <w:spacing w:after="160" w:line="259" w:lineRule="auto"/>
        <w:jc w:val="both"/>
        <w:textAlignment w:val="auto"/>
        <w:rPr>
          <w:b/>
          <w:bCs/>
        </w:rPr>
      </w:pPr>
      <w:r>
        <w:rPr>
          <w:b/>
          <w:bCs/>
        </w:rPr>
        <w:t>In case of (MT TX, DU TX), the p</w:t>
      </w:r>
      <w:r w:rsidRPr="00C75C6A">
        <w:rPr>
          <w:b/>
          <w:bCs/>
        </w:rPr>
        <w:t>otential power issues may happen only if MT and DU share the same PAs and antennas for their concurrent transmissions.</w:t>
      </w:r>
      <w:r>
        <w:rPr>
          <w:b/>
          <w:bCs/>
        </w:rPr>
        <w:t xml:space="preserve"> In which case,</w:t>
      </w:r>
      <w:r w:rsidRPr="00C75C6A">
        <w:rPr>
          <w:b/>
          <w:bCs/>
        </w:rPr>
        <w:t xml:space="preserve"> </w:t>
      </w:r>
    </w:p>
    <w:p w14:paraId="57A448C5" w14:textId="77777777" w:rsidR="004A70EE" w:rsidRPr="00C75C6A" w:rsidRDefault="004A70EE" w:rsidP="004A70EE">
      <w:pPr>
        <w:pStyle w:val="ListParagraph"/>
        <w:numPr>
          <w:ilvl w:val="0"/>
          <w:numId w:val="9"/>
        </w:numPr>
        <w:overflowPunct/>
        <w:autoSpaceDE/>
        <w:autoSpaceDN/>
        <w:adjustRightInd/>
        <w:spacing w:after="160" w:line="259" w:lineRule="auto"/>
        <w:jc w:val="both"/>
        <w:textAlignment w:val="auto"/>
      </w:pPr>
      <w:r w:rsidRPr="005B585C">
        <w:rPr>
          <w:b/>
          <w:bCs/>
        </w:rPr>
        <w:t>TX power imbalance seems to be less of a concern.</w:t>
      </w:r>
    </w:p>
    <w:p w14:paraId="54888A67" w14:textId="77777777" w:rsidR="004A70EE" w:rsidRPr="00592971" w:rsidRDefault="004A70EE" w:rsidP="004A70EE">
      <w:pPr>
        <w:pStyle w:val="ListParagraph"/>
        <w:numPr>
          <w:ilvl w:val="0"/>
          <w:numId w:val="9"/>
        </w:numPr>
        <w:overflowPunct/>
        <w:autoSpaceDE/>
        <w:autoSpaceDN/>
        <w:adjustRightInd/>
        <w:spacing w:after="160" w:line="259" w:lineRule="auto"/>
        <w:jc w:val="both"/>
        <w:textAlignment w:val="auto"/>
      </w:pPr>
      <w:r w:rsidRPr="005B585C">
        <w:rPr>
          <w:b/>
          <w:bCs/>
        </w:rPr>
        <w:lastRenderedPageBreak/>
        <w:t xml:space="preserve">TX power sharing rules are needed. </w:t>
      </w:r>
    </w:p>
    <w:p w14:paraId="15326D48" w14:textId="77777777" w:rsidR="004A70EE" w:rsidRDefault="004A70EE" w:rsidP="004A70EE">
      <w:pPr>
        <w:jc w:val="both"/>
      </w:pPr>
    </w:p>
    <w:p w14:paraId="20606887"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2</w:t>
      </w:r>
      <w:r w:rsidRPr="002774F4">
        <w:rPr>
          <w:b/>
          <w:bCs/>
          <w:u w:val="single"/>
        </w:rPr>
        <w:t>:</w:t>
      </w:r>
      <w:r w:rsidRPr="002774F4">
        <w:rPr>
          <w:b/>
          <w:bCs/>
        </w:rPr>
        <w:t xml:space="preserve"> </w:t>
      </w:r>
    </w:p>
    <w:p w14:paraId="2D96C5E2" w14:textId="77777777" w:rsidR="004A70EE" w:rsidRPr="002D12DA" w:rsidRDefault="004A70EE" w:rsidP="004A70EE">
      <w:pPr>
        <w:overflowPunct/>
        <w:autoSpaceDE/>
        <w:autoSpaceDN/>
        <w:adjustRightInd/>
        <w:spacing w:after="160" w:line="259" w:lineRule="auto"/>
        <w:jc w:val="both"/>
        <w:textAlignment w:val="auto"/>
      </w:pPr>
      <w:r>
        <w:rPr>
          <w:b/>
          <w:bCs/>
        </w:rPr>
        <w:t xml:space="preserve">In case of (MT TX, DU TX), and if TX power adjustment is needed to address either a power sharing or a power imbalance issue, </w:t>
      </w:r>
      <w:r w:rsidRPr="005B585C">
        <w:rPr>
          <w:b/>
          <w:bCs/>
        </w:rPr>
        <w:t>the IAB-node prioritizes between its MT’s UL TX and DU’s DL TX based on the DU’s resource type (HARD and SOFT).</w:t>
      </w:r>
    </w:p>
    <w:p w14:paraId="0C322EFB" w14:textId="77777777" w:rsidR="004A70EE" w:rsidRPr="00592971" w:rsidRDefault="004A70EE" w:rsidP="004A70EE">
      <w:pPr>
        <w:overflowPunct/>
        <w:autoSpaceDE/>
        <w:autoSpaceDN/>
        <w:adjustRightInd/>
        <w:spacing w:after="160" w:line="259" w:lineRule="auto"/>
        <w:jc w:val="both"/>
        <w:textAlignment w:val="auto"/>
      </w:pPr>
      <w:r>
        <w:rPr>
          <w:b/>
          <w:bCs/>
        </w:rPr>
        <w:t xml:space="preserve">Note: SSB and CSI-RS should be transmitted with constant power.   </w:t>
      </w:r>
    </w:p>
    <w:p w14:paraId="7C411408" w14:textId="77777777" w:rsidR="004A70EE" w:rsidRDefault="004A70EE" w:rsidP="004A70EE">
      <w:pPr>
        <w:rPr>
          <w:b/>
          <w:bCs/>
        </w:rPr>
      </w:pPr>
    </w:p>
    <w:p w14:paraId="6F6CB410" w14:textId="77777777" w:rsidR="004A70EE" w:rsidRPr="002774F4" w:rsidRDefault="004A70EE" w:rsidP="004A70EE">
      <w:pPr>
        <w:jc w:val="both"/>
        <w:rPr>
          <w:b/>
          <w:bCs/>
        </w:rPr>
      </w:pPr>
      <w:r w:rsidRPr="002774F4">
        <w:rPr>
          <w:b/>
          <w:bCs/>
          <w:u w:val="single"/>
        </w:rPr>
        <w:t xml:space="preserve">Observation </w:t>
      </w:r>
      <w:r>
        <w:rPr>
          <w:b/>
          <w:bCs/>
          <w:u w:val="single"/>
        </w:rPr>
        <w:t>4</w:t>
      </w:r>
      <w:r w:rsidRPr="002774F4">
        <w:rPr>
          <w:b/>
          <w:bCs/>
          <w:u w:val="single"/>
        </w:rPr>
        <w:t>.</w:t>
      </w:r>
      <w:r>
        <w:rPr>
          <w:b/>
          <w:bCs/>
          <w:u w:val="single"/>
        </w:rPr>
        <w:t>3</w:t>
      </w:r>
      <w:r w:rsidRPr="002774F4">
        <w:rPr>
          <w:b/>
          <w:bCs/>
          <w:u w:val="single"/>
        </w:rPr>
        <w:t>:</w:t>
      </w:r>
      <w:r w:rsidRPr="002774F4">
        <w:rPr>
          <w:b/>
          <w:bCs/>
        </w:rPr>
        <w:t xml:space="preserve"> </w:t>
      </w:r>
    </w:p>
    <w:p w14:paraId="3844CCB7" w14:textId="77777777" w:rsidR="004A70EE" w:rsidRPr="004C2900" w:rsidRDefault="004A70EE" w:rsidP="004A70EE">
      <w:pPr>
        <w:overflowPunct/>
        <w:autoSpaceDE/>
        <w:autoSpaceDN/>
        <w:adjustRightInd/>
        <w:spacing w:after="160" w:line="259" w:lineRule="auto"/>
        <w:jc w:val="both"/>
        <w:textAlignment w:val="auto"/>
      </w:pPr>
      <w:r>
        <w:rPr>
          <w:b/>
          <w:bCs/>
        </w:rPr>
        <w:t xml:space="preserve">In case of (MT RX, DU RX), MT’s received DL signal can be too strong that it may block DU’s reception of an UL signal.  </w:t>
      </w:r>
    </w:p>
    <w:p w14:paraId="426E488B" w14:textId="77777777" w:rsidR="004A70EE" w:rsidRPr="002774F4" w:rsidRDefault="004A70EE" w:rsidP="004A70EE">
      <w:pPr>
        <w:jc w:val="both"/>
        <w:rPr>
          <w:b/>
          <w:bCs/>
        </w:rPr>
      </w:pPr>
      <w:r>
        <w:rPr>
          <w:b/>
          <w:bCs/>
          <w:u w:val="single"/>
        </w:rPr>
        <w:t>Proposal</w:t>
      </w:r>
      <w:r w:rsidRPr="002774F4">
        <w:rPr>
          <w:b/>
          <w:bCs/>
          <w:u w:val="single"/>
        </w:rPr>
        <w:t xml:space="preserve"> </w:t>
      </w:r>
      <w:r>
        <w:rPr>
          <w:b/>
          <w:bCs/>
          <w:u w:val="single"/>
        </w:rPr>
        <w:t>4.1</w:t>
      </w:r>
      <w:r w:rsidRPr="002774F4">
        <w:rPr>
          <w:b/>
          <w:bCs/>
          <w:u w:val="single"/>
        </w:rPr>
        <w:t>:</w:t>
      </w:r>
      <w:r w:rsidRPr="002774F4">
        <w:rPr>
          <w:b/>
          <w:bCs/>
        </w:rPr>
        <w:t xml:space="preserve"> </w:t>
      </w:r>
    </w:p>
    <w:p w14:paraId="1BE1E1F4" w14:textId="77777777" w:rsidR="004A70EE" w:rsidRDefault="004A70EE" w:rsidP="004A70EE">
      <w:pPr>
        <w:rPr>
          <w:b/>
          <w:bCs/>
        </w:rPr>
      </w:pPr>
      <w:r>
        <w:rPr>
          <w:b/>
          <w:bCs/>
        </w:rPr>
        <w:t>Support CU providing an IAB-DU, for each of its served cells, an indication of the max allowed DL TX power.</w:t>
      </w:r>
    </w:p>
    <w:p w14:paraId="43A5FEDE" w14:textId="77777777" w:rsidR="004A70EE" w:rsidRDefault="004A70EE" w:rsidP="004A70EE">
      <w:pPr>
        <w:rPr>
          <w:b/>
          <w:bCs/>
        </w:rPr>
      </w:pPr>
    </w:p>
    <w:p w14:paraId="3F0F7EBA" w14:textId="77777777" w:rsidR="004A70EE" w:rsidRDefault="004A70EE" w:rsidP="004A70EE"/>
    <w:p w14:paraId="5355E44F" w14:textId="77777777" w:rsidR="004A70EE" w:rsidRDefault="004A70EE" w:rsidP="004A70EE">
      <w:pPr>
        <w:jc w:val="both"/>
        <w:rPr>
          <w:b/>
          <w:bCs/>
        </w:rPr>
      </w:pPr>
    </w:p>
    <w:p w14:paraId="5EBB9FE4" w14:textId="77777777" w:rsidR="00D14BA0" w:rsidRDefault="00D14BA0" w:rsidP="00E91F25">
      <w:pPr>
        <w:pStyle w:val="Heading2"/>
      </w:pPr>
      <w:r>
        <w:t>References</w:t>
      </w:r>
    </w:p>
    <w:p w14:paraId="5EF1D0E2" w14:textId="3D9F8159" w:rsidR="00515823" w:rsidRDefault="0066284A" w:rsidP="0066284A">
      <w:pPr>
        <w:rPr>
          <w:sz w:val="18"/>
        </w:rPr>
      </w:pPr>
      <w:r w:rsidRPr="00860A73">
        <w:rPr>
          <w:sz w:val="18"/>
        </w:rPr>
        <w:t>[1]</w:t>
      </w:r>
      <w:r w:rsidRPr="00860A73">
        <w:rPr>
          <w:sz w:val="18"/>
        </w:rPr>
        <w:tab/>
      </w:r>
      <w:r w:rsidRPr="00860A73">
        <w:rPr>
          <w:sz w:val="18"/>
        </w:rPr>
        <w:tab/>
      </w:r>
      <w:r w:rsidR="000E2209" w:rsidRPr="000E2209">
        <w:rPr>
          <w:sz w:val="18"/>
        </w:rPr>
        <w:t>RP-201293</w:t>
      </w:r>
      <w:r w:rsidR="00EF4B54">
        <w:rPr>
          <w:sz w:val="18"/>
        </w:rPr>
        <w:t xml:space="preserve"> – </w:t>
      </w:r>
      <w:r w:rsidR="000E2209" w:rsidRPr="000E2209">
        <w:rPr>
          <w:sz w:val="18"/>
        </w:rPr>
        <w:t>Revised WID for NR_IAB_enh; TSG RAN Meeting #88, Electronic Meeting, June 29 - July 3, 2020</w:t>
      </w:r>
    </w:p>
    <w:p w14:paraId="2B31F6B2" w14:textId="69F12641" w:rsidR="00FE66A2" w:rsidRPr="00860A73" w:rsidRDefault="00FE66A2" w:rsidP="0066284A">
      <w:pPr>
        <w:rPr>
          <w:sz w:val="18"/>
        </w:rPr>
      </w:pPr>
      <w:r>
        <w:rPr>
          <w:sz w:val="18"/>
        </w:rPr>
        <w:t xml:space="preserve">[2] </w:t>
      </w:r>
      <w:r>
        <w:rPr>
          <w:sz w:val="18"/>
        </w:rPr>
        <w:tab/>
      </w:r>
      <w:r>
        <w:rPr>
          <w:sz w:val="18"/>
        </w:rPr>
        <w:tab/>
        <w:t>Chairman’s notes RAN1-10</w:t>
      </w:r>
      <w:r w:rsidR="00254154">
        <w:rPr>
          <w:sz w:val="18"/>
        </w:rPr>
        <w:t>3</w:t>
      </w:r>
      <w:r>
        <w:rPr>
          <w:sz w:val="18"/>
        </w:rPr>
        <w:t>e for IAB</w:t>
      </w:r>
    </w:p>
    <w:p w14:paraId="2E1F125B" w14:textId="03BBA42A" w:rsidR="006A3724" w:rsidRDefault="006A3724" w:rsidP="006A3724">
      <w:pPr>
        <w:rPr>
          <w:sz w:val="18"/>
        </w:rPr>
      </w:pPr>
      <w:r>
        <w:rPr>
          <w:sz w:val="18"/>
        </w:rPr>
        <w:t>[</w:t>
      </w:r>
      <w:r w:rsidR="00761B22">
        <w:rPr>
          <w:sz w:val="18"/>
        </w:rPr>
        <w:t>3</w:t>
      </w:r>
      <w:r>
        <w:rPr>
          <w:sz w:val="18"/>
        </w:rPr>
        <w:t xml:space="preserve">] </w:t>
      </w:r>
      <w:r>
        <w:rPr>
          <w:sz w:val="18"/>
        </w:rPr>
        <w:tab/>
      </w:r>
      <w:r>
        <w:rPr>
          <w:sz w:val="18"/>
        </w:rPr>
        <w:tab/>
        <w:t>R1-2</w:t>
      </w:r>
      <w:r w:rsidR="00254154">
        <w:rPr>
          <w:sz w:val="18"/>
        </w:rPr>
        <w:t>101483</w:t>
      </w:r>
      <w:r w:rsidR="00EF4B54">
        <w:rPr>
          <w:sz w:val="18"/>
        </w:rPr>
        <w:t xml:space="preserve"> – </w:t>
      </w:r>
      <w:r>
        <w:rPr>
          <w:sz w:val="18"/>
        </w:rPr>
        <w:t>Resource management for enhanced duplexing</w:t>
      </w:r>
      <w:r w:rsidR="00B667D9">
        <w:rPr>
          <w:sz w:val="18"/>
        </w:rPr>
        <w:t xml:space="preserve"> – </w:t>
      </w:r>
      <w:r>
        <w:rPr>
          <w:sz w:val="18"/>
        </w:rPr>
        <w:t>Qualcomm.</w:t>
      </w:r>
    </w:p>
    <w:p w14:paraId="2D7D71B0" w14:textId="77777777" w:rsidR="00BD62C8" w:rsidRPr="009B5DA9" w:rsidRDefault="00BD62C8" w:rsidP="009E1DB0"/>
    <w:sectPr w:rsidR="00BD62C8" w:rsidRPr="009B5DA9">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4D51" w14:textId="77777777" w:rsidR="00D852DD" w:rsidRDefault="00D852DD">
      <w:pPr>
        <w:spacing w:after="0"/>
      </w:pPr>
      <w:r>
        <w:separator/>
      </w:r>
    </w:p>
  </w:endnote>
  <w:endnote w:type="continuationSeparator" w:id="0">
    <w:p w14:paraId="13F80C76" w14:textId="77777777" w:rsidR="00D852DD" w:rsidRDefault="00D85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7EAD8" w14:textId="77777777" w:rsidR="00D852DD" w:rsidRDefault="00D852DD">
      <w:pPr>
        <w:spacing w:after="0"/>
      </w:pPr>
      <w:r>
        <w:separator/>
      </w:r>
    </w:p>
  </w:footnote>
  <w:footnote w:type="continuationSeparator" w:id="0">
    <w:p w14:paraId="5F9553A9" w14:textId="77777777" w:rsidR="00D852DD" w:rsidRDefault="00D85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90C9C" w14:textId="77777777" w:rsidR="00E25086" w:rsidRDefault="00E250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679E"/>
    <w:multiLevelType w:val="hybridMultilevel"/>
    <w:tmpl w:val="E3B2B9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2059D1"/>
    <w:multiLevelType w:val="hybridMultilevel"/>
    <w:tmpl w:val="433A7816"/>
    <w:lvl w:ilvl="0" w:tplc="48DC9432">
      <w:start w:val="2"/>
      <w:numFmt w:val="bullet"/>
      <w:lvlText w:val="-"/>
      <w:lvlJc w:val="left"/>
      <w:pPr>
        <w:tabs>
          <w:tab w:val="num" w:pos="360"/>
        </w:tabs>
        <w:ind w:left="360" w:hanging="360"/>
      </w:pPr>
      <w:rPr>
        <w:rFonts w:ascii="Calibri" w:eastAsiaTheme="minorEastAsia" w:hAnsi="Calibri" w:cs="Calibri" w:hint="default"/>
      </w:rPr>
    </w:lvl>
    <w:lvl w:ilvl="1" w:tplc="808A9438">
      <w:start w:val="1"/>
      <w:numFmt w:val="bullet"/>
      <w:lvlText w:val="•"/>
      <w:lvlJc w:val="left"/>
      <w:pPr>
        <w:tabs>
          <w:tab w:val="num" w:pos="1080"/>
        </w:tabs>
        <w:ind w:left="1080" w:hanging="360"/>
      </w:pPr>
      <w:rPr>
        <w:rFonts w:ascii="Arial" w:hAnsi="Arial" w:hint="default"/>
      </w:rPr>
    </w:lvl>
    <w:lvl w:ilvl="2" w:tplc="A4C80362" w:tentative="1">
      <w:start w:val="1"/>
      <w:numFmt w:val="bullet"/>
      <w:lvlText w:val="•"/>
      <w:lvlJc w:val="left"/>
      <w:pPr>
        <w:tabs>
          <w:tab w:val="num" w:pos="1800"/>
        </w:tabs>
        <w:ind w:left="1800" w:hanging="360"/>
      </w:pPr>
      <w:rPr>
        <w:rFonts w:ascii="Arial" w:hAnsi="Arial" w:hint="default"/>
      </w:rPr>
    </w:lvl>
    <w:lvl w:ilvl="3" w:tplc="FE7A4BCC" w:tentative="1">
      <w:start w:val="1"/>
      <w:numFmt w:val="bullet"/>
      <w:lvlText w:val="•"/>
      <w:lvlJc w:val="left"/>
      <w:pPr>
        <w:tabs>
          <w:tab w:val="num" w:pos="2520"/>
        </w:tabs>
        <w:ind w:left="2520" w:hanging="360"/>
      </w:pPr>
      <w:rPr>
        <w:rFonts w:ascii="Arial" w:hAnsi="Arial" w:hint="default"/>
      </w:rPr>
    </w:lvl>
    <w:lvl w:ilvl="4" w:tplc="2ED65548" w:tentative="1">
      <w:start w:val="1"/>
      <w:numFmt w:val="bullet"/>
      <w:lvlText w:val="•"/>
      <w:lvlJc w:val="left"/>
      <w:pPr>
        <w:tabs>
          <w:tab w:val="num" w:pos="3240"/>
        </w:tabs>
        <w:ind w:left="3240" w:hanging="360"/>
      </w:pPr>
      <w:rPr>
        <w:rFonts w:ascii="Arial" w:hAnsi="Arial" w:hint="default"/>
      </w:rPr>
    </w:lvl>
    <w:lvl w:ilvl="5" w:tplc="FFC24890" w:tentative="1">
      <w:start w:val="1"/>
      <w:numFmt w:val="bullet"/>
      <w:lvlText w:val="•"/>
      <w:lvlJc w:val="left"/>
      <w:pPr>
        <w:tabs>
          <w:tab w:val="num" w:pos="3960"/>
        </w:tabs>
        <w:ind w:left="3960" w:hanging="360"/>
      </w:pPr>
      <w:rPr>
        <w:rFonts w:ascii="Arial" w:hAnsi="Arial" w:hint="default"/>
      </w:rPr>
    </w:lvl>
    <w:lvl w:ilvl="6" w:tplc="3E022E80" w:tentative="1">
      <w:start w:val="1"/>
      <w:numFmt w:val="bullet"/>
      <w:lvlText w:val="•"/>
      <w:lvlJc w:val="left"/>
      <w:pPr>
        <w:tabs>
          <w:tab w:val="num" w:pos="4680"/>
        </w:tabs>
        <w:ind w:left="4680" w:hanging="360"/>
      </w:pPr>
      <w:rPr>
        <w:rFonts w:ascii="Arial" w:hAnsi="Arial" w:hint="default"/>
      </w:rPr>
    </w:lvl>
    <w:lvl w:ilvl="7" w:tplc="439E8C42" w:tentative="1">
      <w:start w:val="1"/>
      <w:numFmt w:val="bullet"/>
      <w:lvlText w:val="•"/>
      <w:lvlJc w:val="left"/>
      <w:pPr>
        <w:tabs>
          <w:tab w:val="num" w:pos="5400"/>
        </w:tabs>
        <w:ind w:left="5400" w:hanging="360"/>
      </w:pPr>
      <w:rPr>
        <w:rFonts w:ascii="Arial" w:hAnsi="Arial" w:hint="default"/>
      </w:rPr>
    </w:lvl>
    <w:lvl w:ilvl="8" w:tplc="20223B3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AEB51D2"/>
    <w:multiLevelType w:val="hybridMultilevel"/>
    <w:tmpl w:val="49606F90"/>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B1ACD"/>
    <w:multiLevelType w:val="hybridMultilevel"/>
    <w:tmpl w:val="E5048D54"/>
    <w:lvl w:ilvl="0" w:tplc="48DC9432">
      <w:start w:val="2"/>
      <w:numFmt w:val="bullet"/>
      <w:lvlText w:val="-"/>
      <w:lvlJc w:val="left"/>
      <w:pPr>
        <w:tabs>
          <w:tab w:val="num" w:pos="360"/>
        </w:tabs>
        <w:ind w:left="360" w:hanging="360"/>
      </w:pPr>
      <w:rPr>
        <w:rFonts w:ascii="Calibri" w:eastAsiaTheme="minorEastAsia" w:hAnsi="Calibri" w:cs="Calibri" w:hint="default"/>
      </w:rPr>
    </w:lvl>
    <w:lvl w:ilvl="1" w:tplc="A8F8B624">
      <w:start w:val="1"/>
      <w:numFmt w:val="bullet"/>
      <w:lvlText w:val="•"/>
      <w:lvlJc w:val="left"/>
      <w:pPr>
        <w:tabs>
          <w:tab w:val="num" w:pos="1080"/>
        </w:tabs>
        <w:ind w:left="1080" w:hanging="360"/>
      </w:pPr>
      <w:rPr>
        <w:rFonts w:ascii="Arial" w:hAnsi="Arial" w:hint="default"/>
      </w:rPr>
    </w:lvl>
    <w:lvl w:ilvl="2" w:tplc="FE443726">
      <w:numFmt w:val="bullet"/>
      <w:lvlText w:val="•"/>
      <w:lvlJc w:val="left"/>
      <w:pPr>
        <w:tabs>
          <w:tab w:val="num" w:pos="1800"/>
        </w:tabs>
        <w:ind w:left="1800" w:hanging="360"/>
      </w:pPr>
      <w:rPr>
        <w:rFonts w:ascii="Microsoft Sans Serif" w:hAnsi="Microsoft Sans Serif" w:hint="default"/>
      </w:rPr>
    </w:lvl>
    <w:lvl w:ilvl="3" w:tplc="3B102DD0" w:tentative="1">
      <w:start w:val="1"/>
      <w:numFmt w:val="bullet"/>
      <w:lvlText w:val="•"/>
      <w:lvlJc w:val="left"/>
      <w:pPr>
        <w:tabs>
          <w:tab w:val="num" w:pos="2520"/>
        </w:tabs>
        <w:ind w:left="2520" w:hanging="360"/>
      </w:pPr>
      <w:rPr>
        <w:rFonts w:ascii="Arial" w:hAnsi="Arial" w:hint="default"/>
      </w:rPr>
    </w:lvl>
    <w:lvl w:ilvl="4" w:tplc="0348572C" w:tentative="1">
      <w:start w:val="1"/>
      <w:numFmt w:val="bullet"/>
      <w:lvlText w:val="•"/>
      <w:lvlJc w:val="left"/>
      <w:pPr>
        <w:tabs>
          <w:tab w:val="num" w:pos="3240"/>
        </w:tabs>
        <w:ind w:left="3240" w:hanging="360"/>
      </w:pPr>
      <w:rPr>
        <w:rFonts w:ascii="Arial" w:hAnsi="Arial" w:hint="default"/>
      </w:rPr>
    </w:lvl>
    <w:lvl w:ilvl="5" w:tplc="B986D124" w:tentative="1">
      <w:start w:val="1"/>
      <w:numFmt w:val="bullet"/>
      <w:lvlText w:val="•"/>
      <w:lvlJc w:val="left"/>
      <w:pPr>
        <w:tabs>
          <w:tab w:val="num" w:pos="3960"/>
        </w:tabs>
        <w:ind w:left="3960" w:hanging="360"/>
      </w:pPr>
      <w:rPr>
        <w:rFonts w:ascii="Arial" w:hAnsi="Arial" w:hint="default"/>
      </w:rPr>
    </w:lvl>
    <w:lvl w:ilvl="6" w:tplc="0CE060D6" w:tentative="1">
      <w:start w:val="1"/>
      <w:numFmt w:val="bullet"/>
      <w:lvlText w:val="•"/>
      <w:lvlJc w:val="left"/>
      <w:pPr>
        <w:tabs>
          <w:tab w:val="num" w:pos="4680"/>
        </w:tabs>
        <w:ind w:left="4680" w:hanging="360"/>
      </w:pPr>
      <w:rPr>
        <w:rFonts w:ascii="Arial" w:hAnsi="Arial" w:hint="default"/>
      </w:rPr>
    </w:lvl>
    <w:lvl w:ilvl="7" w:tplc="8DA67DDA" w:tentative="1">
      <w:start w:val="1"/>
      <w:numFmt w:val="bullet"/>
      <w:lvlText w:val="•"/>
      <w:lvlJc w:val="left"/>
      <w:pPr>
        <w:tabs>
          <w:tab w:val="num" w:pos="5400"/>
        </w:tabs>
        <w:ind w:left="5400" w:hanging="360"/>
      </w:pPr>
      <w:rPr>
        <w:rFonts w:ascii="Arial" w:hAnsi="Arial" w:hint="default"/>
      </w:rPr>
    </w:lvl>
    <w:lvl w:ilvl="8" w:tplc="96DCED1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50035D"/>
    <w:multiLevelType w:val="hybridMultilevel"/>
    <w:tmpl w:val="8B26C6F2"/>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F3D141B"/>
    <w:multiLevelType w:val="hybridMultilevel"/>
    <w:tmpl w:val="3F24D13E"/>
    <w:lvl w:ilvl="0" w:tplc="48DC9432">
      <w:start w:val="2"/>
      <w:numFmt w:val="bullet"/>
      <w:lvlText w:val="-"/>
      <w:lvlJc w:val="left"/>
      <w:pPr>
        <w:tabs>
          <w:tab w:val="num" w:pos="720"/>
        </w:tabs>
        <w:ind w:left="720" w:hanging="360"/>
      </w:pPr>
      <w:rPr>
        <w:rFonts w:ascii="Calibri" w:eastAsiaTheme="minorEastAsia" w:hAnsi="Calibri" w:cs="Calibri" w:hint="default"/>
      </w:rPr>
    </w:lvl>
    <w:lvl w:ilvl="1" w:tplc="25708B36">
      <w:start w:val="1"/>
      <w:numFmt w:val="bullet"/>
      <w:lvlText w:val="◦"/>
      <w:lvlJc w:val="left"/>
      <w:pPr>
        <w:tabs>
          <w:tab w:val="num" w:pos="1440"/>
        </w:tabs>
        <w:ind w:left="1440" w:hanging="360"/>
      </w:pPr>
      <w:rPr>
        <w:rFonts w:ascii="Microsoft Sans Serif" w:hAnsi="Microsoft Sans Serif" w:hint="default"/>
      </w:rPr>
    </w:lvl>
    <w:lvl w:ilvl="2" w:tplc="3E887856" w:tentative="1">
      <w:start w:val="1"/>
      <w:numFmt w:val="bullet"/>
      <w:lvlText w:val="◦"/>
      <w:lvlJc w:val="left"/>
      <w:pPr>
        <w:tabs>
          <w:tab w:val="num" w:pos="2160"/>
        </w:tabs>
        <w:ind w:left="2160" w:hanging="360"/>
      </w:pPr>
      <w:rPr>
        <w:rFonts w:ascii="Microsoft Sans Serif" w:hAnsi="Microsoft Sans Serif" w:hint="default"/>
      </w:rPr>
    </w:lvl>
    <w:lvl w:ilvl="3" w:tplc="EC6686EE" w:tentative="1">
      <w:start w:val="1"/>
      <w:numFmt w:val="bullet"/>
      <w:lvlText w:val="◦"/>
      <w:lvlJc w:val="left"/>
      <w:pPr>
        <w:tabs>
          <w:tab w:val="num" w:pos="2880"/>
        </w:tabs>
        <w:ind w:left="2880" w:hanging="360"/>
      </w:pPr>
      <w:rPr>
        <w:rFonts w:ascii="Microsoft Sans Serif" w:hAnsi="Microsoft Sans Serif" w:hint="default"/>
      </w:rPr>
    </w:lvl>
    <w:lvl w:ilvl="4" w:tplc="F6DC0F70" w:tentative="1">
      <w:start w:val="1"/>
      <w:numFmt w:val="bullet"/>
      <w:lvlText w:val="◦"/>
      <w:lvlJc w:val="left"/>
      <w:pPr>
        <w:tabs>
          <w:tab w:val="num" w:pos="3600"/>
        </w:tabs>
        <w:ind w:left="3600" w:hanging="360"/>
      </w:pPr>
      <w:rPr>
        <w:rFonts w:ascii="Microsoft Sans Serif" w:hAnsi="Microsoft Sans Serif" w:hint="default"/>
      </w:rPr>
    </w:lvl>
    <w:lvl w:ilvl="5" w:tplc="A148D986" w:tentative="1">
      <w:start w:val="1"/>
      <w:numFmt w:val="bullet"/>
      <w:lvlText w:val="◦"/>
      <w:lvlJc w:val="left"/>
      <w:pPr>
        <w:tabs>
          <w:tab w:val="num" w:pos="4320"/>
        </w:tabs>
        <w:ind w:left="4320" w:hanging="360"/>
      </w:pPr>
      <w:rPr>
        <w:rFonts w:ascii="Microsoft Sans Serif" w:hAnsi="Microsoft Sans Serif" w:hint="default"/>
      </w:rPr>
    </w:lvl>
    <w:lvl w:ilvl="6" w:tplc="A3184198" w:tentative="1">
      <w:start w:val="1"/>
      <w:numFmt w:val="bullet"/>
      <w:lvlText w:val="◦"/>
      <w:lvlJc w:val="left"/>
      <w:pPr>
        <w:tabs>
          <w:tab w:val="num" w:pos="5040"/>
        </w:tabs>
        <w:ind w:left="5040" w:hanging="360"/>
      </w:pPr>
      <w:rPr>
        <w:rFonts w:ascii="Microsoft Sans Serif" w:hAnsi="Microsoft Sans Serif" w:hint="default"/>
      </w:rPr>
    </w:lvl>
    <w:lvl w:ilvl="7" w:tplc="E634E0BC" w:tentative="1">
      <w:start w:val="1"/>
      <w:numFmt w:val="bullet"/>
      <w:lvlText w:val="◦"/>
      <w:lvlJc w:val="left"/>
      <w:pPr>
        <w:tabs>
          <w:tab w:val="num" w:pos="5760"/>
        </w:tabs>
        <w:ind w:left="5760" w:hanging="360"/>
      </w:pPr>
      <w:rPr>
        <w:rFonts w:ascii="Microsoft Sans Serif" w:hAnsi="Microsoft Sans Serif" w:hint="default"/>
      </w:rPr>
    </w:lvl>
    <w:lvl w:ilvl="8" w:tplc="39CEE3DE"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5F10285B"/>
    <w:multiLevelType w:val="hybridMultilevel"/>
    <w:tmpl w:val="8C924C7E"/>
    <w:lvl w:ilvl="0" w:tplc="48DC9432">
      <w:start w:val="2"/>
      <w:numFmt w:val="bullet"/>
      <w:lvlText w:val="-"/>
      <w:lvlJc w:val="left"/>
      <w:pPr>
        <w:tabs>
          <w:tab w:val="num" w:pos="720"/>
        </w:tabs>
        <w:ind w:left="720" w:hanging="360"/>
      </w:pPr>
      <w:rPr>
        <w:rFonts w:ascii="Calibri" w:eastAsiaTheme="minorEastAsia" w:hAnsi="Calibri" w:cs="Calibri" w:hint="default"/>
      </w:rPr>
    </w:lvl>
    <w:lvl w:ilvl="1" w:tplc="14D8EBF8" w:tentative="1">
      <w:start w:val="1"/>
      <w:numFmt w:val="bullet"/>
      <w:lvlText w:val="•"/>
      <w:lvlJc w:val="left"/>
      <w:pPr>
        <w:tabs>
          <w:tab w:val="num" w:pos="1440"/>
        </w:tabs>
        <w:ind w:left="1440" w:hanging="360"/>
      </w:pPr>
      <w:rPr>
        <w:rFonts w:ascii="Arial" w:hAnsi="Arial" w:hint="default"/>
      </w:rPr>
    </w:lvl>
    <w:lvl w:ilvl="2" w:tplc="3EF826CC" w:tentative="1">
      <w:start w:val="1"/>
      <w:numFmt w:val="bullet"/>
      <w:lvlText w:val="•"/>
      <w:lvlJc w:val="left"/>
      <w:pPr>
        <w:tabs>
          <w:tab w:val="num" w:pos="2160"/>
        </w:tabs>
        <w:ind w:left="2160" w:hanging="360"/>
      </w:pPr>
      <w:rPr>
        <w:rFonts w:ascii="Arial" w:hAnsi="Arial" w:hint="default"/>
      </w:rPr>
    </w:lvl>
    <w:lvl w:ilvl="3" w:tplc="D9CE5080" w:tentative="1">
      <w:start w:val="1"/>
      <w:numFmt w:val="bullet"/>
      <w:lvlText w:val="•"/>
      <w:lvlJc w:val="left"/>
      <w:pPr>
        <w:tabs>
          <w:tab w:val="num" w:pos="2880"/>
        </w:tabs>
        <w:ind w:left="2880" w:hanging="360"/>
      </w:pPr>
      <w:rPr>
        <w:rFonts w:ascii="Arial" w:hAnsi="Arial" w:hint="default"/>
      </w:rPr>
    </w:lvl>
    <w:lvl w:ilvl="4" w:tplc="CA744BF8" w:tentative="1">
      <w:start w:val="1"/>
      <w:numFmt w:val="bullet"/>
      <w:lvlText w:val="•"/>
      <w:lvlJc w:val="left"/>
      <w:pPr>
        <w:tabs>
          <w:tab w:val="num" w:pos="3600"/>
        </w:tabs>
        <w:ind w:left="3600" w:hanging="360"/>
      </w:pPr>
      <w:rPr>
        <w:rFonts w:ascii="Arial" w:hAnsi="Arial" w:hint="default"/>
      </w:rPr>
    </w:lvl>
    <w:lvl w:ilvl="5" w:tplc="CA4A18F6" w:tentative="1">
      <w:start w:val="1"/>
      <w:numFmt w:val="bullet"/>
      <w:lvlText w:val="•"/>
      <w:lvlJc w:val="left"/>
      <w:pPr>
        <w:tabs>
          <w:tab w:val="num" w:pos="4320"/>
        </w:tabs>
        <w:ind w:left="4320" w:hanging="360"/>
      </w:pPr>
      <w:rPr>
        <w:rFonts w:ascii="Arial" w:hAnsi="Arial" w:hint="default"/>
      </w:rPr>
    </w:lvl>
    <w:lvl w:ilvl="6" w:tplc="D61A42D0" w:tentative="1">
      <w:start w:val="1"/>
      <w:numFmt w:val="bullet"/>
      <w:lvlText w:val="•"/>
      <w:lvlJc w:val="left"/>
      <w:pPr>
        <w:tabs>
          <w:tab w:val="num" w:pos="5040"/>
        </w:tabs>
        <w:ind w:left="5040" w:hanging="360"/>
      </w:pPr>
      <w:rPr>
        <w:rFonts w:ascii="Arial" w:hAnsi="Arial" w:hint="default"/>
      </w:rPr>
    </w:lvl>
    <w:lvl w:ilvl="7" w:tplc="7B84E38C" w:tentative="1">
      <w:start w:val="1"/>
      <w:numFmt w:val="bullet"/>
      <w:lvlText w:val="•"/>
      <w:lvlJc w:val="left"/>
      <w:pPr>
        <w:tabs>
          <w:tab w:val="num" w:pos="5760"/>
        </w:tabs>
        <w:ind w:left="5760" w:hanging="360"/>
      </w:pPr>
      <w:rPr>
        <w:rFonts w:ascii="Arial" w:hAnsi="Arial" w:hint="default"/>
      </w:rPr>
    </w:lvl>
    <w:lvl w:ilvl="8" w:tplc="1B587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8C065E"/>
    <w:multiLevelType w:val="hybridMultilevel"/>
    <w:tmpl w:val="07CEAFA6"/>
    <w:lvl w:ilvl="0" w:tplc="04090001">
      <w:start w:val="1"/>
      <w:numFmt w:val="bullet"/>
      <w:lvlText w:val=""/>
      <w:lvlJc w:val="left"/>
      <w:pPr>
        <w:tabs>
          <w:tab w:val="num" w:pos="360"/>
        </w:tabs>
        <w:ind w:left="360" w:hanging="360"/>
      </w:pPr>
      <w:rPr>
        <w:rFonts w:ascii="Symbol" w:hAnsi="Symbol" w:hint="default"/>
      </w:rPr>
    </w:lvl>
    <w:lvl w:ilvl="1" w:tplc="FBCAFEC0">
      <w:numFmt w:val="bullet"/>
      <w:lvlText w:val="◦"/>
      <w:lvlJc w:val="left"/>
      <w:pPr>
        <w:tabs>
          <w:tab w:val="num" w:pos="1080"/>
        </w:tabs>
        <w:ind w:left="1080" w:hanging="360"/>
      </w:pPr>
      <w:rPr>
        <w:rFonts w:ascii="Microsoft Sans Serif" w:hAnsi="Microsoft Sans Serif" w:hint="default"/>
      </w:rPr>
    </w:lvl>
    <w:lvl w:ilvl="2" w:tplc="B18242A6" w:tentative="1">
      <w:start w:val="1"/>
      <w:numFmt w:val="bullet"/>
      <w:lvlText w:val="•"/>
      <w:lvlJc w:val="left"/>
      <w:pPr>
        <w:tabs>
          <w:tab w:val="num" w:pos="1800"/>
        </w:tabs>
        <w:ind w:left="1800" w:hanging="360"/>
      </w:pPr>
      <w:rPr>
        <w:rFonts w:ascii="Arial" w:hAnsi="Arial" w:hint="default"/>
      </w:rPr>
    </w:lvl>
    <w:lvl w:ilvl="3" w:tplc="425C2C28" w:tentative="1">
      <w:start w:val="1"/>
      <w:numFmt w:val="bullet"/>
      <w:lvlText w:val="•"/>
      <w:lvlJc w:val="left"/>
      <w:pPr>
        <w:tabs>
          <w:tab w:val="num" w:pos="2520"/>
        </w:tabs>
        <w:ind w:left="2520" w:hanging="360"/>
      </w:pPr>
      <w:rPr>
        <w:rFonts w:ascii="Arial" w:hAnsi="Arial" w:hint="default"/>
      </w:rPr>
    </w:lvl>
    <w:lvl w:ilvl="4" w:tplc="83D89078" w:tentative="1">
      <w:start w:val="1"/>
      <w:numFmt w:val="bullet"/>
      <w:lvlText w:val="•"/>
      <w:lvlJc w:val="left"/>
      <w:pPr>
        <w:tabs>
          <w:tab w:val="num" w:pos="3240"/>
        </w:tabs>
        <w:ind w:left="3240" w:hanging="360"/>
      </w:pPr>
      <w:rPr>
        <w:rFonts w:ascii="Arial" w:hAnsi="Arial" w:hint="default"/>
      </w:rPr>
    </w:lvl>
    <w:lvl w:ilvl="5" w:tplc="D94CB4B8" w:tentative="1">
      <w:start w:val="1"/>
      <w:numFmt w:val="bullet"/>
      <w:lvlText w:val="•"/>
      <w:lvlJc w:val="left"/>
      <w:pPr>
        <w:tabs>
          <w:tab w:val="num" w:pos="3960"/>
        </w:tabs>
        <w:ind w:left="3960" w:hanging="360"/>
      </w:pPr>
      <w:rPr>
        <w:rFonts w:ascii="Arial" w:hAnsi="Arial" w:hint="default"/>
      </w:rPr>
    </w:lvl>
    <w:lvl w:ilvl="6" w:tplc="A5F42A94" w:tentative="1">
      <w:start w:val="1"/>
      <w:numFmt w:val="bullet"/>
      <w:lvlText w:val="•"/>
      <w:lvlJc w:val="left"/>
      <w:pPr>
        <w:tabs>
          <w:tab w:val="num" w:pos="4680"/>
        </w:tabs>
        <w:ind w:left="4680" w:hanging="360"/>
      </w:pPr>
      <w:rPr>
        <w:rFonts w:ascii="Arial" w:hAnsi="Arial" w:hint="default"/>
      </w:rPr>
    </w:lvl>
    <w:lvl w:ilvl="7" w:tplc="E62819D0" w:tentative="1">
      <w:start w:val="1"/>
      <w:numFmt w:val="bullet"/>
      <w:lvlText w:val="•"/>
      <w:lvlJc w:val="left"/>
      <w:pPr>
        <w:tabs>
          <w:tab w:val="num" w:pos="5400"/>
        </w:tabs>
        <w:ind w:left="5400" w:hanging="360"/>
      </w:pPr>
      <w:rPr>
        <w:rFonts w:ascii="Arial" w:hAnsi="Arial" w:hint="default"/>
      </w:rPr>
    </w:lvl>
    <w:lvl w:ilvl="8" w:tplc="BE7A0A0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429386E"/>
    <w:multiLevelType w:val="hybridMultilevel"/>
    <w:tmpl w:val="18365304"/>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0A1CC9"/>
    <w:multiLevelType w:val="hybridMultilevel"/>
    <w:tmpl w:val="438CA84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B835802"/>
    <w:multiLevelType w:val="hybridMultilevel"/>
    <w:tmpl w:val="04B012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6"/>
  </w:num>
  <w:num w:numId="2">
    <w:abstractNumId w:val="4"/>
  </w:num>
  <w:num w:numId="3">
    <w:abstractNumId w:val="17"/>
  </w:num>
  <w:num w:numId="4">
    <w:abstractNumId w:val="13"/>
  </w:num>
  <w:num w:numId="5">
    <w:abstractNumId w:val="5"/>
  </w:num>
  <w:num w:numId="6">
    <w:abstractNumId w:val="2"/>
  </w:num>
  <w:num w:numId="7">
    <w:abstractNumId w:val="10"/>
  </w:num>
  <w:num w:numId="8">
    <w:abstractNumId w:val="9"/>
  </w:num>
  <w:num w:numId="9">
    <w:abstractNumId w:val="3"/>
  </w:num>
  <w:num w:numId="10">
    <w:abstractNumId w:val="12"/>
  </w:num>
  <w:num w:numId="11">
    <w:abstractNumId w:val="6"/>
  </w:num>
  <w:num w:numId="12">
    <w:abstractNumId w:val="8"/>
  </w:num>
  <w:num w:numId="13">
    <w:abstractNumId w:val="0"/>
  </w:num>
  <w:num w:numId="14">
    <w:abstractNumId w:val="15"/>
  </w:num>
  <w:num w:numId="15">
    <w:abstractNumId w:val="1"/>
  </w:num>
  <w:num w:numId="16">
    <w:abstractNumId w:val="11"/>
  </w:num>
  <w:num w:numId="17">
    <w:abstractNumId w:val="7"/>
  </w:num>
  <w:num w:numId="1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B20"/>
    <w:rsid w:val="00013C33"/>
    <w:rsid w:val="000200FC"/>
    <w:rsid w:val="00044AFF"/>
    <w:rsid w:val="00047275"/>
    <w:rsid w:val="0004766A"/>
    <w:rsid w:val="00050DEB"/>
    <w:rsid w:val="00053746"/>
    <w:rsid w:val="000557B8"/>
    <w:rsid w:val="000574A4"/>
    <w:rsid w:val="000621C1"/>
    <w:rsid w:val="000729EC"/>
    <w:rsid w:val="00074FD0"/>
    <w:rsid w:val="00076F6F"/>
    <w:rsid w:val="00077434"/>
    <w:rsid w:val="00083A9B"/>
    <w:rsid w:val="00084114"/>
    <w:rsid w:val="0008518B"/>
    <w:rsid w:val="00085AA8"/>
    <w:rsid w:val="00087C72"/>
    <w:rsid w:val="000952DC"/>
    <w:rsid w:val="000A4826"/>
    <w:rsid w:val="000A657E"/>
    <w:rsid w:val="000A7CCE"/>
    <w:rsid w:val="000B482E"/>
    <w:rsid w:val="000B5BE2"/>
    <w:rsid w:val="000B7D94"/>
    <w:rsid w:val="000C1B14"/>
    <w:rsid w:val="000D1557"/>
    <w:rsid w:val="000D3889"/>
    <w:rsid w:val="000D3EC1"/>
    <w:rsid w:val="000E0706"/>
    <w:rsid w:val="000E2209"/>
    <w:rsid w:val="000F50D7"/>
    <w:rsid w:val="000F65EE"/>
    <w:rsid w:val="001050AE"/>
    <w:rsid w:val="00106C9F"/>
    <w:rsid w:val="00111701"/>
    <w:rsid w:val="0011202B"/>
    <w:rsid w:val="00115503"/>
    <w:rsid w:val="00122A1C"/>
    <w:rsid w:val="0012597C"/>
    <w:rsid w:val="00131C46"/>
    <w:rsid w:val="00132FEA"/>
    <w:rsid w:val="00141159"/>
    <w:rsid w:val="00141606"/>
    <w:rsid w:val="001479C1"/>
    <w:rsid w:val="00152200"/>
    <w:rsid w:val="00152F18"/>
    <w:rsid w:val="001632E3"/>
    <w:rsid w:val="00167815"/>
    <w:rsid w:val="00175120"/>
    <w:rsid w:val="00184038"/>
    <w:rsid w:val="00192C21"/>
    <w:rsid w:val="00193028"/>
    <w:rsid w:val="001A0374"/>
    <w:rsid w:val="001A4207"/>
    <w:rsid w:val="001A5C73"/>
    <w:rsid w:val="001B243F"/>
    <w:rsid w:val="001C3AED"/>
    <w:rsid w:val="001D5617"/>
    <w:rsid w:val="001E3173"/>
    <w:rsid w:val="001E4714"/>
    <w:rsid w:val="001E7ACC"/>
    <w:rsid w:val="00201C93"/>
    <w:rsid w:val="002145BA"/>
    <w:rsid w:val="00214BAD"/>
    <w:rsid w:val="00215133"/>
    <w:rsid w:val="00217274"/>
    <w:rsid w:val="0022026D"/>
    <w:rsid w:val="002208A7"/>
    <w:rsid w:val="00221B24"/>
    <w:rsid w:val="00221EA3"/>
    <w:rsid w:val="00222CF1"/>
    <w:rsid w:val="00225710"/>
    <w:rsid w:val="002257EE"/>
    <w:rsid w:val="002314EA"/>
    <w:rsid w:val="00233BA2"/>
    <w:rsid w:val="002349E6"/>
    <w:rsid w:val="002351A0"/>
    <w:rsid w:val="00237B7F"/>
    <w:rsid w:val="00240EFB"/>
    <w:rsid w:val="0024577D"/>
    <w:rsid w:val="00254154"/>
    <w:rsid w:val="00255134"/>
    <w:rsid w:val="00257ED9"/>
    <w:rsid w:val="00263EEE"/>
    <w:rsid w:val="002661A0"/>
    <w:rsid w:val="002665D7"/>
    <w:rsid w:val="00267B52"/>
    <w:rsid w:val="0027025B"/>
    <w:rsid w:val="002706B5"/>
    <w:rsid w:val="00270D09"/>
    <w:rsid w:val="00274E14"/>
    <w:rsid w:val="00275CA4"/>
    <w:rsid w:val="0027710A"/>
    <w:rsid w:val="00281957"/>
    <w:rsid w:val="002832C2"/>
    <w:rsid w:val="0028666A"/>
    <w:rsid w:val="00292489"/>
    <w:rsid w:val="00292740"/>
    <w:rsid w:val="0029339C"/>
    <w:rsid w:val="002A03A3"/>
    <w:rsid w:val="002A4F5D"/>
    <w:rsid w:val="002A689D"/>
    <w:rsid w:val="002A6F13"/>
    <w:rsid w:val="002B1079"/>
    <w:rsid w:val="002B1728"/>
    <w:rsid w:val="002B4616"/>
    <w:rsid w:val="002B4EC6"/>
    <w:rsid w:val="002C53D8"/>
    <w:rsid w:val="002C70B3"/>
    <w:rsid w:val="002D1594"/>
    <w:rsid w:val="002D444E"/>
    <w:rsid w:val="002D44EA"/>
    <w:rsid w:val="002E7E1E"/>
    <w:rsid w:val="002F0F57"/>
    <w:rsid w:val="002F1808"/>
    <w:rsid w:val="002F2F8E"/>
    <w:rsid w:val="00310FD8"/>
    <w:rsid w:val="00311061"/>
    <w:rsid w:val="00314A05"/>
    <w:rsid w:val="00320A5A"/>
    <w:rsid w:val="003424FC"/>
    <w:rsid w:val="00342EB8"/>
    <w:rsid w:val="00344AEC"/>
    <w:rsid w:val="00346C5C"/>
    <w:rsid w:val="00351C6C"/>
    <w:rsid w:val="003568AC"/>
    <w:rsid w:val="00362814"/>
    <w:rsid w:val="00371004"/>
    <w:rsid w:val="00372D0F"/>
    <w:rsid w:val="00385C12"/>
    <w:rsid w:val="00394956"/>
    <w:rsid w:val="003A33BD"/>
    <w:rsid w:val="003A6CBF"/>
    <w:rsid w:val="003A7171"/>
    <w:rsid w:val="003B0187"/>
    <w:rsid w:val="003B0F09"/>
    <w:rsid w:val="003B6C1F"/>
    <w:rsid w:val="003B7919"/>
    <w:rsid w:val="003C129D"/>
    <w:rsid w:val="003C3BFC"/>
    <w:rsid w:val="003D0FED"/>
    <w:rsid w:val="003E2411"/>
    <w:rsid w:val="003E2F25"/>
    <w:rsid w:val="003E36C9"/>
    <w:rsid w:val="003F5E6B"/>
    <w:rsid w:val="003F642D"/>
    <w:rsid w:val="003F7BA1"/>
    <w:rsid w:val="003F7F51"/>
    <w:rsid w:val="00402E59"/>
    <w:rsid w:val="00403FDB"/>
    <w:rsid w:val="0041035F"/>
    <w:rsid w:val="00412915"/>
    <w:rsid w:val="00414090"/>
    <w:rsid w:val="00414435"/>
    <w:rsid w:val="004151A0"/>
    <w:rsid w:val="00415A3B"/>
    <w:rsid w:val="00415D97"/>
    <w:rsid w:val="0042277C"/>
    <w:rsid w:val="00422CFF"/>
    <w:rsid w:val="004301FF"/>
    <w:rsid w:val="00431888"/>
    <w:rsid w:val="00432329"/>
    <w:rsid w:val="0043366F"/>
    <w:rsid w:val="0044100D"/>
    <w:rsid w:val="004415E1"/>
    <w:rsid w:val="00441789"/>
    <w:rsid w:val="00446E8A"/>
    <w:rsid w:val="0044799D"/>
    <w:rsid w:val="00451D9F"/>
    <w:rsid w:val="0045214C"/>
    <w:rsid w:val="00453FD5"/>
    <w:rsid w:val="004713DD"/>
    <w:rsid w:val="00474AF4"/>
    <w:rsid w:val="004750C4"/>
    <w:rsid w:val="00477686"/>
    <w:rsid w:val="00484708"/>
    <w:rsid w:val="00490E0D"/>
    <w:rsid w:val="00494BA0"/>
    <w:rsid w:val="00496D28"/>
    <w:rsid w:val="004A239B"/>
    <w:rsid w:val="004A6938"/>
    <w:rsid w:val="004A70EE"/>
    <w:rsid w:val="004B085E"/>
    <w:rsid w:val="004B21D8"/>
    <w:rsid w:val="004B3650"/>
    <w:rsid w:val="004B4705"/>
    <w:rsid w:val="004C1E55"/>
    <w:rsid w:val="004D1871"/>
    <w:rsid w:val="004D1EBF"/>
    <w:rsid w:val="004D3D3F"/>
    <w:rsid w:val="004D5882"/>
    <w:rsid w:val="004E5E6A"/>
    <w:rsid w:val="004E6141"/>
    <w:rsid w:val="004E79F0"/>
    <w:rsid w:val="004F4239"/>
    <w:rsid w:val="004F4BF6"/>
    <w:rsid w:val="004F51D1"/>
    <w:rsid w:val="00500536"/>
    <w:rsid w:val="00501AAC"/>
    <w:rsid w:val="0050376D"/>
    <w:rsid w:val="005119FF"/>
    <w:rsid w:val="00511EAC"/>
    <w:rsid w:val="00515823"/>
    <w:rsid w:val="00523CDE"/>
    <w:rsid w:val="0052442B"/>
    <w:rsid w:val="00526898"/>
    <w:rsid w:val="00532388"/>
    <w:rsid w:val="005328F7"/>
    <w:rsid w:val="00532A09"/>
    <w:rsid w:val="00534608"/>
    <w:rsid w:val="00535D92"/>
    <w:rsid w:val="00541C46"/>
    <w:rsid w:val="00544347"/>
    <w:rsid w:val="005443B7"/>
    <w:rsid w:val="00546D87"/>
    <w:rsid w:val="005506F0"/>
    <w:rsid w:val="0055272A"/>
    <w:rsid w:val="00557397"/>
    <w:rsid w:val="005603E9"/>
    <w:rsid w:val="00560E90"/>
    <w:rsid w:val="005666E5"/>
    <w:rsid w:val="005767B5"/>
    <w:rsid w:val="00581FD9"/>
    <w:rsid w:val="005868A5"/>
    <w:rsid w:val="0059288F"/>
    <w:rsid w:val="00594203"/>
    <w:rsid w:val="005A01BD"/>
    <w:rsid w:val="005A2ED9"/>
    <w:rsid w:val="005A2F39"/>
    <w:rsid w:val="005A62B1"/>
    <w:rsid w:val="005A6C5B"/>
    <w:rsid w:val="005B1F0C"/>
    <w:rsid w:val="005B2CF7"/>
    <w:rsid w:val="005B2FBA"/>
    <w:rsid w:val="005B585C"/>
    <w:rsid w:val="005B619E"/>
    <w:rsid w:val="005C020A"/>
    <w:rsid w:val="005C2E29"/>
    <w:rsid w:val="005C56FA"/>
    <w:rsid w:val="005C7A37"/>
    <w:rsid w:val="005C7D1B"/>
    <w:rsid w:val="005D5E48"/>
    <w:rsid w:val="005D6344"/>
    <w:rsid w:val="005D6D0F"/>
    <w:rsid w:val="005D789A"/>
    <w:rsid w:val="005E3769"/>
    <w:rsid w:val="005F0157"/>
    <w:rsid w:val="005F4F38"/>
    <w:rsid w:val="005F5FA1"/>
    <w:rsid w:val="005F7080"/>
    <w:rsid w:val="00605B49"/>
    <w:rsid w:val="00607ECC"/>
    <w:rsid w:val="0061252A"/>
    <w:rsid w:val="00614821"/>
    <w:rsid w:val="00626721"/>
    <w:rsid w:val="00630470"/>
    <w:rsid w:val="00642E69"/>
    <w:rsid w:val="006435F1"/>
    <w:rsid w:val="00645A16"/>
    <w:rsid w:val="006463E5"/>
    <w:rsid w:val="006502A4"/>
    <w:rsid w:val="006505D2"/>
    <w:rsid w:val="00652213"/>
    <w:rsid w:val="00652637"/>
    <w:rsid w:val="006527DE"/>
    <w:rsid w:val="0066284A"/>
    <w:rsid w:val="00667D51"/>
    <w:rsid w:val="00680C36"/>
    <w:rsid w:val="00681845"/>
    <w:rsid w:val="00682514"/>
    <w:rsid w:val="00682FB5"/>
    <w:rsid w:val="00683917"/>
    <w:rsid w:val="0069086B"/>
    <w:rsid w:val="00691CC8"/>
    <w:rsid w:val="00691FD8"/>
    <w:rsid w:val="00693079"/>
    <w:rsid w:val="00694482"/>
    <w:rsid w:val="006A02C1"/>
    <w:rsid w:val="006A3724"/>
    <w:rsid w:val="006A6664"/>
    <w:rsid w:val="006A7B67"/>
    <w:rsid w:val="006B22CD"/>
    <w:rsid w:val="006B2E83"/>
    <w:rsid w:val="006B7978"/>
    <w:rsid w:val="006C2328"/>
    <w:rsid w:val="006C47C0"/>
    <w:rsid w:val="006C493A"/>
    <w:rsid w:val="006C5B54"/>
    <w:rsid w:val="006D1B64"/>
    <w:rsid w:val="006D2521"/>
    <w:rsid w:val="006D34A0"/>
    <w:rsid w:val="006D5D2E"/>
    <w:rsid w:val="006E08F6"/>
    <w:rsid w:val="006E1BB1"/>
    <w:rsid w:val="006E1D07"/>
    <w:rsid w:val="006E3B16"/>
    <w:rsid w:val="006E52F1"/>
    <w:rsid w:val="006E5B38"/>
    <w:rsid w:val="006F55F7"/>
    <w:rsid w:val="00701F1D"/>
    <w:rsid w:val="00706194"/>
    <w:rsid w:val="00711724"/>
    <w:rsid w:val="00712C96"/>
    <w:rsid w:val="007144BE"/>
    <w:rsid w:val="00716DF0"/>
    <w:rsid w:val="007223E6"/>
    <w:rsid w:val="00726195"/>
    <w:rsid w:val="00726DFD"/>
    <w:rsid w:val="0072747A"/>
    <w:rsid w:val="00731D1A"/>
    <w:rsid w:val="00735296"/>
    <w:rsid w:val="007458D9"/>
    <w:rsid w:val="00752CF6"/>
    <w:rsid w:val="0075390D"/>
    <w:rsid w:val="00756C5D"/>
    <w:rsid w:val="00761B22"/>
    <w:rsid w:val="00763D8A"/>
    <w:rsid w:val="00763F22"/>
    <w:rsid w:val="0076406C"/>
    <w:rsid w:val="0076589E"/>
    <w:rsid w:val="00773BE3"/>
    <w:rsid w:val="007874EB"/>
    <w:rsid w:val="00793FA3"/>
    <w:rsid w:val="00795F98"/>
    <w:rsid w:val="007A1AF7"/>
    <w:rsid w:val="007A2FD2"/>
    <w:rsid w:val="007B12BC"/>
    <w:rsid w:val="007D4247"/>
    <w:rsid w:val="007D57E3"/>
    <w:rsid w:val="007D5EA6"/>
    <w:rsid w:val="007E010C"/>
    <w:rsid w:val="007F574F"/>
    <w:rsid w:val="00801FB5"/>
    <w:rsid w:val="0080235B"/>
    <w:rsid w:val="0080415F"/>
    <w:rsid w:val="008051F8"/>
    <w:rsid w:val="00806EAC"/>
    <w:rsid w:val="008109D1"/>
    <w:rsid w:val="00821BB4"/>
    <w:rsid w:val="00822C55"/>
    <w:rsid w:val="008254F8"/>
    <w:rsid w:val="008321FA"/>
    <w:rsid w:val="00841F03"/>
    <w:rsid w:val="00856866"/>
    <w:rsid w:val="00857943"/>
    <w:rsid w:val="00860A73"/>
    <w:rsid w:val="00862525"/>
    <w:rsid w:val="0086530D"/>
    <w:rsid w:val="00865F74"/>
    <w:rsid w:val="00867537"/>
    <w:rsid w:val="00873665"/>
    <w:rsid w:val="00875592"/>
    <w:rsid w:val="00880F5D"/>
    <w:rsid w:val="00882466"/>
    <w:rsid w:val="0088470A"/>
    <w:rsid w:val="00890BC6"/>
    <w:rsid w:val="00891261"/>
    <w:rsid w:val="00896AC9"/>
    <w:rsid w:val="00897207"/>
    <w:rsid w:val="008A0CA6"/>
    <w:rsid w:val="008A17F1"/>
    <w:rsid w:val="008A2B55"/>
    <w:rsid w:val="008A59E9"/>
    <w:rsid w:val="008B1B06"/>
    <w:rsid w:val="008B54CB"/>
    <w:rsid w:val="008B67D2"/>
    <w:rsid w:val="008B6C57"/>
    <w:rsid w:val="008B71BC"/>
    <w:rsid w:val="008C02B5"/>
    <w:rsid w:val="008C1E35"/>
    <w:rsid w:val="008C5331"/>
    <w:rsid w:val="008D629D"/>
    <w:rsid w:val="008E126F"/>
    <w:rsid w:val="008E333E"/>
    <w:rsid w:val="008F24B1"/>
    <w:rsid w:val="008F26AA"/>
    <w:rsid w:val="008F2768"/>
    <w:rsid w:val="008F7101"/>
    <w:rsid w:val="008F7E90"/>
    <w:rsid w:val="009064A7"/>
    <w:rsid w:val="00907846"/>
    <w:rsid w:val="00921746"/>
    <w:rsid w:val="0093245F"/>
    <w:rsid w:val="00937091"/>
    <w:rsid w:val="00942324"/>
    <w:rsid w:val="00942593"/>
    <w:rsid w:val="00944145"/>
    <w:rsid w:val="00945502"/>
    <w:rsid w:val="00947B92"/>
    <w:rsid w:val="00950F6F"/>
    <w:rsid w:val="00951CAB"/>
    <w:rsid w:val="00955D88"/>
    <w:rsid w:val="00963D7D"/>
    <w:rsid w:val="009648F7"/>
    <w:rsid w:val="00971EDC"/>
    <w:rsid w:val="009735A9"/>
    <w:rsid w:val="009739A5"/>
    <w:rsid w:val="0097408A"/>
    <w:rsid w:val="00976905"/>
    <w:rsid w:val="00977181"/>
    <w:rsid w:val="0098069C"/>
    <w:rsid w:val="0098286A"/>
    <w:rsid w:val="00991F05"/>
    <w:rsid w:val="0099624F"/>
    <w:rsid w:val="009A3624"/>
    <w:rsid w:val="009A66F9"/>
    <w:rsid w:val="009A76B8"/>
    <w:rsid w:val="009B5DA9"/>
    <w:rsid w:val="009C1B86"/>
    <w:rsid w:val="009C333D"/>
    <w:rsid w:val="009D3347"/>
    <w:rsid w:val="009D4796"/>
    <w:rsid w:val="009D5D51"/>
    <w:rsid w:val="009E1DB0"/>
    <w:rsid w:val="009E1DD9"/>
    <w:rsid w:val="009F56C2"/>
    <w:rsid w:val="00A0267F"/>
    <w:rsid w:val="00A03A17"/>
    <w:rsid w:val="00A0430E"/>
    <w:rsid w:val="00A072E6"/>
    <w:rsid w:val="00A11C09"/>
    <w:rsid w:val="00A123EA"/>
    <w:rsid w:val="00A12459"/>
    <w:rsid w:val="00A12CC0"/>
    <w:rsid w:val="00A12FD1"/>
    <w:rsid w:val="00A14D6C"/>
    <w:rsid w:val="00A159E4"/>
    <w:rsid w:val="00A20A0E"/>
    <w:rsid w:val="00A242C1"/>
    <w:rsid w:val="00A245F7"/>
    <w:rsid w:val="00A26D08"/>
    <w:rsid w:val="00A31C9B"/>
    <w:rsid w:val="00A3298C"/>
    <w:rsid w:val="00A368D1"/>
    <w:rsid w:val="00A37176"/>
    <w:rsid w:val="00A42AF8"/>
    <w:rsid w:val="00A43992"/>
    <w:rsid w:val="00A47409"/>
    <w:rsid w:val="00A524EE"/>
    <w:rsid w:val="00A56066"/>
    <w:rsid w:val="00A57DD3"/>
    <w:rsid w:val="00A678AF"/>
    <w:rsid w:val="00A868E9"/>
    <w:rsid w:val="00A86A9F"/>
    <w:rsid w:val="00A873C4"/>
    <w:rsid w:val="00A87D42"/>
    <w:rsid w:val="00A95747"/>
    <w:rsid w:val="00A9671D"/>
    <w:rsid w:val="00A976AC"/>
    <w:rsid w:val="00A97C3A"/>
    <w:rsid w:val="00AA0C63"/>
    <w:rsid w:val="00AA1745"/>
    <w:rsid w:val="00AA1ADD"/>
    <w:rsid w:val="00AA1F6B"/>
    <w:rsid w:val="00AA42A1"/>
    <w:rsid w:val="00AA76C2"/>
    <w:rsid w:val="00AB1C08"/>
    <w:rsid w:val="00AB2AEB"/>
    <w:rsid w:val="00AC17FA"/>
    <w:rsid w:val="00AC2CCB"/>
    <w:rsid w:val="00AC2F9A"/>
    <w:rsid w:val="00AD2177"/>
    <w:rsid w:val="00AE1AAC"/>
    <w:rsid w:val="00AE1CB2"/>
    <w:rsid w:val="00AE1D96"/>
    <w:rsid w:val="00AE24D7"/>
    <w:rsid w:val="00AE3D9D"/>
    <w:rsid w:val="00AE7BAA"/>
    <w:rsid w:val="00AF0340"/>
    <w:rsid w:val="00AF202E"/>
    <w:rsid w:val="00AF3348"/>
    <w:rsid w:val="00AF543F"/>
    <w:rsid w:val="00B03A61"/>
    <w:rsid w:val="00B06CE5"/>
    <w:rsid w:val="00B107DA"/>
    <w:rsid w:val="00B1290D"/>
    <w:rsid w:val="00B171E8"/>
    <w:rsid w:val="00B17257"/>
    <w:rsid w:val="00B21C95"/>
    <w:rsid w:val="00B221C3"/>
    <w:rsid w:val="00B30F80"/>
    <w:rsid w:val="00B335EB"/>
    <w:rsid w:val="00B36CA2"/>
    <w:rsid w:val="00B45C1C"/>
    <w:rsid w:val="00B46752"/>
    <w:rsid w:val="00B471B0"/>
    <w:rsid w:val="00B573B1"/>
    <w:rsid w:val="00B63950"/>
    <w:rsid w:val="00B65785"/>
    <w:rsid w:val="00B65D5F"/>
    <w:rsid w:val="00B667D9"/>
    <w:rsid w:val="00B71019"/>
    <w:rsid w:val="00B826AF"/>
    <w:rsid w:val="00B84D78"/>
    <w:rsid w:val="00B87ACC"/>
    <w:rsid w:val="00B96B92"/>
    <w:rsid w:val="00B96ED9"/>
    <w:rsid w:val="00B978CA"/>
    <w:rsid w:val="00BA3075"/>
    <w:rsid w:val="00BA3A32"/>
    <w:rsid w:val="00BA7C88"/>
    <w:rsid w:val="00BB3B79"/>
    <w:rsid w:val="00BB45E1"/>
    <w:rsid w:val="00BB53E6"/>
    <w:rsid w:val="00BB5CF3"/>
    <w:rsid w:val="00BC1CF4"/>
    <w:rsid w:val="00BC512C"/>
    <w:rsid w:val="00BC609E"/>
    <w:rsid w:val="00BC674D"/>
    <w:rsid w:val="00BC7C88"/>
    <w:rsid w:val="00BD62C8"/>
    <w:rsid w:val="00BE39D0"/>
    <w:rsid w:val="00BF00DF"/>
    <w:rsid w:val="00BF03F6"/>
    <w:rsid w:val="00BF1D96"/>
    <w:rsid w:val="00BF52A9"/>
    <w:rsid w:val="00C03071"/>
    <w:rsid w:val="00C0346D"/>
    <w:rsid w:val="00C05223"/>
    <w:rsid w:val="00C10D52"/>
    <w:rsid w:val="00C11C98"/>
    <w:rsid w:val="00C14192"/>
    <w:rsid w:val="00C149EE"/>
    <w:rsid w:val="00C15809"/>
    <w:rsid w:val="00C1697B"/>
    <w:rsid w:val="00C2056B"/>
    <w:rsid w:val="00C229D6"/>
    <w:rsid w:val="00C23008"/>
    <w:rsid w:val="00C251DE"/>
    <w:rsid w:val="00C26FFF"/>
    <w:rsid w:val="00C31387"/>
    <w:rsid w:val="00C3686F"/>
    <w:rsid w:val="00C407F0"/>
    <w:rsid w:val="00C420DC"/>
    <w:rsid w:val="00C4323D"/>
    <w:rsid w:val="00C476A7"/>
    <w:rsid w:val="00C479F1"/>
    <w:rsid w:val="00C50A14"/>
    <w:rsid w:val="00C51418"/>
    <w:rsid w:val="00C5493B"/>
    <w:rsid w:val="00C57DBD"/>
    <w:rsid w:val="00C6434E"/>
    <w:rsid w:val="00C671F1"/>
    <w:rsid w:val="00C70152"/>
    <w:rsid w:val="00C712E0"/>
    <w:rsid w:val="00C72807"/>
    <w:rsid w:val="00C776A0"/>
    <w:rsid w:val="00C77FF5"/>
    <w:rsid w:val="00C851E9"/>
    <w:rsid w:val="00C86A6D"/>
    <w:rsid w:val="00C86B2A"/>
    <w:rsid w:val="00C92ABA"/>
    <w:rsid w:val="00C93390"/>
    <w:rsid w:val="00C962E2"/>
    <w:rsid w:val="00C96332"/>
    <w:rsid w:val="00CA142A"/>
    <w:rsid w:val="00CA672C"/>
    <w:rsid w:val="00CA6DCA"/>
    <w:rsid w:val="00CB0267"/>
    <w:rsid w:val="00CD043F"/>
    <w:rsid w:val="00CD131B"/>
    <w:rsid w:val="00CD47B0"/>
    <w:rsid w:val="00CE004F"/>
    <w:rsid w:val="00CE0EAD"/>
    <w:rsid w:val="00CE2DFE"/>
    <w:rsid w:val="00CF1965"/>
    <w:rsid w:val="00CF6132"/>
    <w:rsid w:val="00D04234"/>
    <w:rsid w:val="00D054D3"/>
    <w:rsid w:val="00D14BA0"/>
    <w:rsid w:val="00D15DDC"/>
    <w:rsid w:val="00D20C41"/>
    <w:rsid w:val="00D27F7B"/>
    <w:rsid w:val="00D37BAC"/>
    <w:rsid w:val="00D4379C"/>
    <w:rsid w:val="00D43A83"/>
    <w:rsid w:val="00D44127"/>
    <w:rsid w:val="00D4641B"/>
    <w:rsid w:val="00D509CC"/>
    <w:rsid w:val="00D5640D"/>
    <w:rsid w:val="00D573F6"/>
    <w:rsid w:val="00D63E7A"/>
    <w:rsid w:val="00D6464E"/>
    <w:rsid w:val="00D72A67"/>
    <w:rsid w:val="00D7474E"/>
    <w:rsid w:val="00D749F7"/>
    <w:rsid w:val="00D76015"/>
    <w:rsid w:val="00D81254"/>
    <w:rsid w:val="00D8196C"/>
    <w:rsid w:val="00D852DD"/>
    <w:rsid w:val="00D857AF"/>
    <w:rsid w:val="00D867A9"/>
    <w:rsid w:val="00D94180"/>
    <w:rsid w:val="00D94FBE"/>
    <w:rsid w:val="00D95372"/>
    <w:rsid w:val="00DA0D36"/>
    <w:rsid w:val="00DA1B21"/>
    <w:rsid w:val="00DA2408"/>
    <w:rsid w:val="00DA6909"/>
    <w:rsid w:val="00DB0E92"/>
    <w:rsid w:val="00DB48E5"/>
    <w:rsid w:val="00DB57D5"/>
    <w:rsid w:val="00DC100C"/>
    <w:rsid w:val="00DC1398"/>
    <w:rsid w:val="00DD09D5"/>
    <w:rsid w:val="00DD5916"/>
    <w:rsid w:val="00DE026F"/>
    <w:rsid w:val="00DE1306"/>
    <w:rsid w:val="00DE2C70"/>
    <w:rsid w:val="00DE5B12"/>
    <w:rsid w:val="00E02BFF"/>
    <w:rsid w:val="00E03EA0"/>
    <w:rsid w:val="00E04996"/>
    <w:rsid w:val="00E07575"/>
    <w:rsid w:val="00E0766F"/>
    <w:rsid w:val="00E0790C"/>
    <w:rsid w:val="00E1502E"/>
    <w:rsid w:val="00E1628F"/>
    <w:rsid w:val="00E25086"/>
    <w:rsid w:val="00E3795C"/>
    <w:rsid w:val="00E37C3C"/>
    <w:rsid w:val="00E40E83"/>
    <w:rsid w:val="00E4276F"/>
    <w:rsid w:val="00E434C8"/>
    <w:rsid w:val="00E43DA4"/>
    <w:rsid w:val="00E5606D"/>
    <w:rsid w:val="00E561BF"/>
    <w:rsid w:val="00E67373"/>
    <w:rsid w:val="00E676C3"/>
    <w:rsid w:val="00E7187A"/>
    <w:rsid w:val="00E72209"/>
    <w:rsid w:val="00E757D7"/>
    <w:rsid w:val="00E76615"/>
    <w:rsid w:val="00E8137B"/>
    <w:rsid w:val="00E83CE9"/>
    <w:rsid w:val="00E856B6"/>
    <w:rsid w:val="00E91B5F"/>
    <w:rsid w:val="00E91F25"/>
    <w:rsid w:val="00E95B56"/>
    <w:rsid w:val="00EA185B"/>
    <w:rsid w:val="00EA5163"/>
    <w:rsid w:val="00EB0575"/>
    <w:rsid w:val="00EB0CFC"/>
    <w:rsid w:val="00EB3300"/>
    <w:rsid w:val="00EB632D"/>
    <w:rsid w:val="00EB6E4C"/>
    <w:rsid w:val="00EC15DC"/>
    <w:rsid w:val="00EC2508"/>
    <w:rsid w:val="00EC5FC3"/>
    <w:rsid w:val="00EC6C54"/>
    <w:rsid w:val="00ED2B30"/>
    <w:rsid w:val="00EF4B54"/>
    <w:rsid w:val="00F001F4"/>
    <w:rsid w:val="00F01CE3"/>
    <w:rsid w:val="00F022B7"/>
    <w:rsid w:val="00F05427"/>
    <w:rsid w:val="00F103E3"/>
    <w:rsid w:val="00F12427"/>
    <w:rsid w:val="00F12DD4"/>
    <w:rsid w:val="00F23B6C"/>
    <w:rsid w:val="00F250E7"/>
    <w:rsid w:val="00F26D4F"/>
    <w:rsid w:val="00F30A86"/>
    <w:rsid w:val="00F33CF5"/>
    <w:rsid w:val="00F36C4E"/>
    <w:rsid w:val="00F410D4"/>
    <w:rsid w:val="00F432A8"/>
    <w:rsid w:val="00F4475B"/>
    <w:rsid w:val="00F45BE4"/>
    <w:rsid w:val="00F51896"/>
    <w:rsid w:val="00F5302C"/>
    <w:rsid w:val="00F55CC3"/>
    <w:rsid w:val="00F618CC"/>
    <w:rsid w:val="00F634F5"/>
    <w:rsid w:val="00F747AD"/>
    <w:rsid w:val="00F74B09"/>
    <w:rsid w:val="00F801B5"/>
    <w:rsid w:val="00F861BC"/>
    <w:rsid w:val="00F93282"/>
    <w:rsid w:val="00F95AC3"/>
    <w:rsid w:val="00FA3CDF"/>
    <w:rsid w:val="00FB3159"/>
    <w:rsid w:val="00FC4667"/>
    <w:rsid w:val="00FD4C37"/>
    <w:rsid w:val="00FD69B5"/>
    <w:rsid w:val="00FD7414"/>
    <w:rsid w:val="00FE034A"/>
    <w:rsid w:val="00FE66A2"/>
    <w:rsid w:val="00FF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1B79"/>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8F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6E08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E08F6"/>
    <w:pPr>
      <w:pBdr>
        <w:top w:val="none" w:sz="0" w:space="0" w:color="auto"/>
      </w:pBdr>
      <w:spacing w:before="180"/>
      <w:ind w:left="0" w:firstLine="0"/>
      <w:outlineLvl w:val="1"/>
    </w:pPr>
    <w:rPr>
      <w:sz w:val="32"/>
    </w:rPr>
  </w:style>
  <w:style w:type="paragraph" w:styleId="Heading3">
    <w:name w:val="heading 3"/>
    <w:basedOn w:val="Heading2"/>
    <w:next w:val="Normal"/>
    <w:qFormat/>
    <w:rsid w:val="006E08F6"/>
    <w:pPr>
      <w:spacing w:before="120"/>
      <w:outlineLvl w:val="2"/>
    </w:pPr>
    <w:rPr>
      <w:sz w:val="28"/>
    </w:rPr>
  </w:style>
  <w:style w:type="paragraph" w:styleId="Heading4">
    <w:name w:val="heading 4"/>
    <w:basedOn w:val="Heading3"/>
    <w:next w:val="Normal"/>
    <w:qFormat/>
    <w:rsid w:val="006E08F6"/>
    <w:pPr>
      <w:ind w:left="1418" w:hanging="1418"/>
      <w:outlineLvl w:val="3"/>
    </w:pPr>
    <w:rPr>
      <w:sz w:val="24"/>
    </w:rPr>
  </w:style>
  <w:style w:type="paragraph" w:styleId="Heading5">
    <w:name w:val="heading 5"/>
    <w:basedOn w:val="Heading4"/>
    <w:next w:val="Normal"/>
    <w:qFormat/>
    <w:rsid w:val="006E08F6"/>
    <w:pPr>
      <w:ind w:left="1701" w:hanging="1701"/>
      <w:outlineLvl w:val="4"/>
    </w:pPr>
    <w:rPr>
      <w:sz w:val="22"/>
    </w:rPr>
  </w:style>
  <w:style w:type="paragraph" w:styleId="Heading6">
    <w:name w:val="heading 6"/>
    <w:basedOn w:val="H6"/>
    <w:next w:val="Normal"/>
    <w:qFormat/>
    <w:rsid w:val="006E08F6"/>
    <w:pPr>
      <w:outlineLvl w:val="5"/>
    </w:pPr>
  </w:style>
  <w:style w:type="paragraph" w:styleId="Heading7">
    <w:name w:val="heading 7"/>
    <w:basedOn w:val="H6"/>
    <w:next w:val="Normal"/>
    <w:qFormat/>
    <w:rsid w:val="006E08F6"/>
    <w:pPr>
      <w:outlineLvl w:val="6"/>
    </w:pPr>
  </w:style>
  <w:style w:type="paragraph" w:styleId="Heading8">
    <w:name w:val="heading 8"/>
    <w:basedOn w:val="Heading1"/>
    <w:next w:val="Normal"/>
    <w:qFormat/>
    <w:rsid w:val="006E08F6"/>
    <w:pPr>
      <w:ind w:left="0" w:firstLine="0"/>
      <w:outlineLvl w:val="7"/>
    </w:pPr>
  </w:style>
  <w:style w:type="paragraph" w:styleId="Heading9">
    <w:name w:val="heading 9"/>
    <w:basedOn w:val="Heading8"/>
    <w:next w:val="Normal"/>
    <w:qFormat/>
    <w:rsid w:val="006E08F6"/>
    <w:pPr>
      <w:outlineLvl w:val="8"/>
    </w:pPr>
  </w:style>
  <w:style w:type="character" w:default="1" w:styleId="DefaultParagraphFont">
    <w:name w:val="Default Paragraph Font"/>
    <w:semiHidden/>
    <w:rsid w:val="006E0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8F6"/>
  </w:style>
  <w:style w:type="paragraph" w:styleId="TOC8">
    <w:name w:val="toc 8"/>
    <w:basedOn w:val="TOC1"/>
    <w:semiHidden/>
    <w:rsid w:val="006E08F6"/>
    <w:pPr>
      <w:spacing w:before="180"/>
      <w:ind w:left="2693" w:hanging="2693"/>
    </w:pPr>
    <w:rPr>
      <w:b/>
    </w:rPr>
  </w:style>
  <w:style w:type="paragraph" w:styleId="TOC1">
    <w:name w:val="toc 1"/>
    <w:semiHidden/>
    <w:rsid w:val="006E08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E08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E08F6"/>
    <w:pPr>
      <w:ind w:left="1701" w:hanging="1701"/>
    </w:pPr>
  </w:style>
  <w:style w:type="paragraph" w:styleId="TOC4">
    <w:name w:val="toc 4"/>
    <w:basedOn w:val="TOC3"/>
    <w:semiHidden/>
    <w:rsid w:val="006E08F6"/>
    <w:pPr>
      <w:ind w:left="1418" w:hanging="1418"/>
    </w:pPr>
  </w:style>
  <w:style w:type="paragraph" w:styleId="TOC3">
    <w:name w:val="toc 3"/>
    <w:basedOn w:val="TOC2"/>
    <w:semiHidden/>
    <w:rsid w:val="006E08F6"/>
    <w:pPr>
      <w:ind w:left="1134" w:hanging="1134"/>
    </w:pPr>
  </w:style>
  <w:style w:type="paragraph" w:styleId="TOC2">
    <w:name w:val="toc 2"/>
    <w:basedOn w:val="TOC1"/>
    <w:semiHidden/>
    <w:rsid w:val="006E08F6"/>
    <w:pPr>
      <w:keepNext w:val="0"/>
      <w:spacing w:before="0"/>
      <w:ind w:left="851" w:hanging="851"/>
    </w:pPr>
    <w:rPr>
      <w:sz w:val="20"/>
    </w:rPr>
  </w:style>
  <w:style w:type="paragraph" w:styleId="Index2">
    <w:name w:val="index 2"/>
    <w:basedOn w:val="Index1"/>
    <w:semiHidden/>
    <w:rsid w:val="006E08F6"/>
    <w:pPr>
      <w:ind w:left="284"/>
    </w:pPr>
  </w:style>
  <w:style w:type="paragraph" w:styleId="Index1">
    <w:name w:val="index 1"/>
    <w:basedOn w:val="Normal"/>
    <w:semiHidden/>
    <w:rsid w:val="006E08F6"/>
    <w:pPr>
      <w:keepLines/>
      <w:spacing w:after="0"/>
    </w:pPr>
  </w:style>
  <w:style w:type="paragraph" w:customStyle="1" w:styleId="ZH">
    <w:name w:val="ZH"/>
    <w:rsid w:val="006E08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08F6"/>
    <w:pPr>
      <w:outlineLvl w:val="9"/>
    </w:pPr>
  </w:style>
  <w:style w:type="paragraph" w:styleId="ListNumber2">
    <w:name w:val="List Number 2"/>
    <w:basedOn w:val="ListNumber"/>
    <w:semiHidden/>
    <w:rsid w:val="006E08F6"/>
    <w:pPr>
      <w:ind w:left="851"/>
    </w:pPr>
  </w:style>
  <w:style w:type="paragraph" w:styleId="Header">
    <w:name w:val="header"/>
    <w:semiHidden/>
    <w:rsid w:val="006E08F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E08F6"/>
    <w:rPr>
      <w:b/>
      <w:position w:val="6"/>
      <w:sz w:val="16"/>
    </w:rPr>
  </w:style>
  <w:style w:type="paragraph" w:styleId="FootnoteText">
    <w:name w:val="footnote text"/>
    <w:basedOn w:val="Normal"/>
    <w:semiHidden/>
    <w:rsid w:val="006E08F6"/>
    <w:pPr>
      <w:keepLines/>
      <w:spacing w:after="0"/>
      <w:ind w:left="454" w:hanging="454"/>
    </w:pPr>
    <w:rPr>
      <w:sz w:val="16"/>
    </w:rPr>
  </w:style>
  <w:style w:type="paragraph" w:customStyle="1" w:styleId="TAH">
    <w:name w:val="TAH"/>
    <w:basedOn w:val="TAC"/>
    <w:rsid w:val="006E08F6"/>
    <w:rPr>
      <w:b/>
    </w:rPr>
  </w:style>
  <w:style w:type="paragraph" w:customStyle="1" w:styleId="TAC">
    <w:name w:val="TAC"/>
    <w:basedOn w:val="TAL"/>
    <w:rsid w:val="006E08F6"/>
    <w:pPr>
      <w:jc w:val="center"/>
    </w:pPr>
  </w:style>
  <w:style w:type="paragraph" w:customStyle="1" w:styleId="TF">
    <w:name w:val="TF"/>
    <w:basedOn w:val="TH"/>
    <w:rsid w:val="006E08F6"/>
    <w:pPr>
      <w:keepNext w:val="0"/>
      <w:spacing w:before="0" w:after="240"/>
    </w:pPr>
  </w:style>
  <w:style w:type="paragraph" w:customStyle="1" w:styleId="NO">
    <w:name w:val="NO"/>
    <w:basedOn w:val="Normal"/>
    <w:rsid w:val="006E08F6"/>
    <w:pPr>
      <w:keepLines/>
      <w:ind w:left="1135" w:hanging="851"/>
    </w:pPr>
  </w:style>
  <w:style w:type="paragraph" w:styleId="TOC9">
    <w:name w:val="toc 9"/>
    <w:basedOn w:val="TOC8"/>
    <w:semiHidden/>
    <w:rsid w:val="006E08F6"/>
    <w:pPr>
      <w:ind w:left="1418" w:hanging="1418"/>
    </w:pPr>
  </w:style>
  <w:style w:type="paragraph" w:customStyle="1" w:styleId="EX">
    <w:name w:val="EX"/>
    <w:basedOn w:val="Normal"/>
    <w:rsid w:val="006E08F6"/>
    <w:pPr>
      <w:keepLines/>
      <w:ind w:left="1702" w:hanging="1418"/>
    </w:pPr>
  </w:style>
  <w:style w:type="paragraph" w:customStyle="1" w:styleId="FP">
    <w:name w:val="FP"/>
    <w:basedOn w:val="Normal"/>
    <w:rsid w:val="006E08F6"/>
    <w:pPr>
      <w:spacing w:after="0"/>
    </w:pPr>
  </w:style>
  <w:style w:type="paragraph" w:customStyle="1" w:styleId="LD">
    <w:name w:val="LD"/>
    <w:rsid w:val="006E08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08F6"/>
    <w:pPr>
      <w:spacing w:after="0"/>
    </w:pPr>
  </w:style>
  <w:style w:type="paragraph" w:customStyle="1" w:styleId="EW">
    <w:name w:val="EW"/>
    <w:basedOn w:val="EX"/>
    <w:rsid w:val="006E08F6"/>
    <w:pPr>
      <w:spacing w:after="0"/>
    </w:pPr>
  </w:style>
  <w:style w:type="paragraph" w:styleId="TOC6">
    <w:name w:val="toc 6"/>
    <w:basedOn w:val="TOC5"/>
    <w:next w:val="Normal"/>
    <w:semiHidden/>
    <w:rsid w:val="006E08F6"/>
    <w:pPr>
      <w:ind w:left="1985" w:hanging="1985"/>
    </w:pPr>
  </w:style>
  <w:style w:type="paragraph" w:styleId="TOC7">
    <w:name w:val="toc 7"/>
    <w:basedOn w:val="TOC6"/>
    <w:next w:val="Normal"/>
    <w:semiHidden/>
    <w:rsid w:val="006E08F6"/>
    <w:pPr>
      <w:ind w:left="2268" w:hanging="2268"/>
    </w:pPr>
  </w:style>
  <w:style w:type="paragraph" w:styleId="ListBullet2">
    <w:name w:val="List Bullet 2"/>
    <w:basedOn w:val="ListBullet"/>
    <w:semiHidden/>
    <w:rsid w:val="006E08F6"/>
    <w:pPr>
      <w:ind w:left="851"/>
    </w:pPr>
  </w:style>
  <w:style w:type="paragraph" w:styleId="ListBullet3">
    <w:name w:val="List Bullet 3"/>
    <w:basedOn w:val="ListBullet2"/>
    <w:semiHidden/>
    <w:rsid w:val="006E08F6"/>
    <w:pPr>
      <w:ind w:left="1135"/>
    </w:pPr>
  </w:style>
  <w:style w:type="paragraph" w:styleId="ListNumber">
    <w:name w:val="List Number"/>
    <w:basedOn w:val="List"/>
    <w:semiHidden/>
    <w:rsid w:val="006E08F6"/>
  </w:style>
  <w:style w:type="paragraph" w:customStyle="1" w:styleId="EQ">
    <w:name w:val="EQ"/>
    <w:basedOn w:val="Normal"/>
    <w:next w:val="Normal"/>
    <w:rsid w:val="006E08F6"/>
    <w:pPr>
      <w:keepLines/>
      <w:tabs>
        <w:tab w:val="center" w:pos="4536"/>
        <w:tab w:val="right" w:pos="9072"/>
      </w:tabs>
    </w:pPr>
    <w:rPr>
      <w:noProof/>
    </w:rPr>
  </w:style>
  <w:style w:type="paragraph" w:customStyle="1" w:styleId="TH">
    <w:name w:val="TH"/>
    <w:basedOn w:val="Normal"/>
    <w:rsid w:val="006E08F6"/>
    <w:pPr>
      <w:keepNext/>
      <w:keepLines/>
      <w:spacing w:before="60"/>
      <w:jc w:val="center"/>
    </w:pPr>
    <w:rPr>
      <w:rFonts w:ascii="Arial" w:hAnsi="Arial"/>
      <w:b/>
    </w:rPr>
  </w:style>
  <w:style w:type="paragraph" w:customStyle="1" w:styleId="NF">
    <w:name w:val="NF"/>
    <w:basedOn w:val="NO"/>
    <w:rsid w:val="006E08F6"/>
    <w:pPr>
      <w:keepNext/>
      <w:spacing w:after="0"/>
    </w:pPr>
    <w:rPr>
      <w:rFonts w:ascii="Arial" w:hAnsi="Arial"/>
      <w:sz w:val="18"/>
    </w:rPr>
  </w:style>
  <w:style w:type="paragraph" w:customStyle="1" w:styleId="PL">
    <w:name w:val="PL"/>
    <w:rsid w:val="006E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08F6"/>
    <w:pPr>
      <w:jc w:val="right"/>
    </w:pPr>
  </w:style>
  <w:style w:type="paragraph" w:customStyle="1" w:styleId="H6">
    <w:name w:val="H6"/>
    <w:basedOn w:val="Heading5"/>
    <w:next w:val="Normal"/>
    <w:rsid w:val="006E08F6"/>
    <w:pPr>
      <w:ind w:left="1985" w:hanging="1985"/>
      <w:outlineLvl w:val="9"/>
    </w:pPr>
    <w:rPr>
      <w:sz w:val="20"/>
    </w:rPr>
  </w:style>
  <w:style w:type="paragraph" w:customStyle="1" w:styleId="TAN">
    <w:name w:val="TAN"/>
    <w:basedOn w:val="TAL"/>
    <w:rsid w:val="006E08F6"/>
    <w:pPr>
      <w:ind w:left="851" w:hanging="851"/>
    </w:pPr>
  </w:style>
  <w:style w:type="paragraph" w:customStyle="1" w:styleId="TAL">
    <w:name w:val="TAL"/>
    <w:basedOn w:val="Normal"/>
    <w:rsid w:val="006E08F6"/>
    <w:pPr>
      <w:keepNext/>
      <w:keepLines/>
      <w:spacing w:after="0"/>
    </w:pPr>
    <w:rPr>
      <w:rFonts w:ascii="Arial" w:hAnsi="Arial"/>
      <w:sz w:val="18"/>
    </w:rPr>
  </w:style>
  <w:style w:type="paragraph" w:customStyle="1" w:styleId="ZA">
    <w:name w:val="ZA"/>
    <w:rsid w:val="006E08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8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8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08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8F6"/>
    <w:pPr>
      <w:framePr w:wrap="notBeside" w:y="16161"/>
    </w:pPr>
  </w:style>
  <w:style w:type="character" w:customStyle="1" w:styleId="ZGSM">
    <w:name w:val="ZGSM"/>
    <w:rsid w:val="006E08F6"/>
  </w:style>
  <w:style w:type="paragraph" w:styleId="List2">
    <w:name w:val="List 2"/>
    <w:basedOn w:val="List"/>
    <w:semiHidden/>
    <w:rsid w:val="006E08F6"/>
    <w:pPr>
      <w:ind w:left="851"/>
    </w:pPr>
  </w:style>
  <w:style w:type="paragraph" w:customStyle="1" w:styleId="ZG">
    <w:name w:val="ZG"/>
    <w:rsid w:val="006E08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E08F6"/>
    <w:pPr>
      <w:ind w:left="1135"/>
    </w:pPr>
  </w:style>
  <w:style w:type="paragraph" w:styleId="List4">
    <w:name w:val="List 4"/>
    <w:basedOn w:val="List3"/>
    <w:semiHidden/>
    <w:rsid w:val="006E08F6"/>
    <w:pPr>
      <w:ind w:left="1418"/>
    </w:pPr>
  </w:style>
  <w:style w:type="paragraph" w:styleId="List5">
    <w:name w:val="List 5"/>
    <w:basedOn w:val="List4"/>
    <w:semiHidden/>
    <w:rsid w:val="006E08F6"/>
    <w:pPr>
      <w:ind w:left="1702"/>
    </w:pPr>
  </w:style>
  <w:style w:type="paragraph" w:customStyle="1" w:styleId="EditorsNote">
    <w:name w:val="Editor's Note"/>
    <w:basedOn w:val="NO"/>
    <w:rsid w:val="006E08F6"/>
    <w:rPr>
      <w:color w:val="FF0000"/>
    </w:rPr>
  </w:style>
  <w:style w:type="paragraph" w:styleId="List">
    <w:name w:val="List"/>
    <w:basedOn w:val="Normal"/>
    <w:semiHidden/>
    <w:rsid w:val="006E08F6"/>
    <w:pPr>
      <w:ind w:left="568" w:hanging="284"/>
    </w:pPr>
  </w:style>
  <w:style w:type="paragraph" w:styleId="ListBullet">
    <w:name w:val="List Bullet"/>
    <w:basedOn w:val="List"/>
    <w:semiHidden/>
    <w:rsid w:val="006E08F6"/>
  </w:style>
  <w:style w:type="paragraph" w:styleId="ListBullet4">
    <w:name w:val="List Bullet 4"/>
    <w:basedOn w:val="ListBullet3"/>
    <w:semiHidden/>
    <w:rsid w:val="006E08F6"/>
    <w:pPr>
      <w:ind w:left="1418"/>
    </w:pPr>
  </w:style>
  <w:style w:type="paragraph" w:styleId="ListBullet5">
    <w:name w:val="List Bullet 5"/>
    <w:basedOn w:val="ListBullet4"/>
    <w:semiHidden/>
    <w:rsid w:val="006E08F6"/>
    <w:pPr>
      <w:ind w:left="1702"/>
    </w:pPr>
  </w:style>
  <w:style w:type="paragraph" w:customStyle="1" w:styleId="B1">
    <w:name w:val="B1"/>
    <w:basedOn w:val="List"/>
    <w:rsid w:val="006E08F6"/>
  </w:style>
  <w:style w:type="paragraph" w:customStyle="1" w:styleId="B2">
    <w:name w:val="B2"/>
    <w:basedOn w:val="List2"/>
    <w:rsid w:val="006E08F6"/>
  </w:style>
  <w:style w:type="paragraph" w:customStyle="1" w:styleId="B3">
    <w:name w:val="B3"/>
    <w:basedOn w:val="List3"/>
    <w:rsid w:val="006E08F6"/>
  </w:style>
  <w:style w:type="paragraph" w:customStyle="1" w:styleId="B4">
    <w:name w:val="B4"/>
    <w:basedOn w:val="List4"/>
    <w:rsid w:val="006E08F6"/>
  </w:style>
  <w:style w:type="paragraph" w:customStyle="1" w:styleId="B5">
    <w:name w:val="B5"/>
    <w:basedOn w:val="List5"/>
    <w:rsid w:val="006E08F6"/>
  </w:style>
  <w:style w:type="paragraph" w:styleId="Footer">
    <w:name w:val="footer"/>
    <w:basedOn w:val="Header"/>
    <w:semiHidden/>
    <w:rsid w:val="006E08F6"/>
    <w:pPr>
      <w:jc w:val="center"/>
    </w:pPr>
    <w:rPr>
      <w:i/>
    </w:rPr>
  </w:style>
  <w:style w:type="paragraph" w:customStyle="1" w:styleId="ZTD">
    <w:name w:val="ZTD"/>
    <w:basedOn w:val="ZB"/>
    <w:rsid w:val="006E08F6"/>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8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87E55-8C56-4650-9142-2217974C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14623</TotalTime>
  <Pages>13</Pages>
  <Words>4754</Words>
  <Characters>27104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447</cp:revision>
  <cp:lastPrinted>1900-01-01T05:00:00Z</cp:lastPrinted>
  <dcterms:created xsi:type="dcterms:W3CDTF">2019-08-14T14:40:00Z</dcterms:created>
  <dcterms:modified xsi:type="dcterms:W3CDTF">2021-01-18T03:28:00Z</dcterms:modified>
</cp:coreProperties>
</file>